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67283" w14:textId="3D46207A" w:rsidR="00955449" w:rsidRPr="004117F0" w:rsidRDefault="00955449" w:rsidP="00955449">
      <w:pPr>
        <w:widowControl w:val="0"/>
        <w:tabs>
          <w:tab w:val="right" w:pos="9639"/>
        </w:tabs>
        <w:spacing w:after="0"/>
        <w:rPr>
          <w:rFonts w:cs="Arial"/>
          <w:b/>
          <w:bCs/>
          <w:sz w:val="24"/>
        </w:rPr>
      </w:pPr>
      <w:bookmarkStart w:id="0" w:name="_Hlk54275161"/>
      <w:bookmarkStart w:id="1" w:name="_Toc142579058"/>
      <w:bookmarkEnd w:id="0"/>
      <w:r w:rsidRPr="004117F0">
        <w:rPr>
          <w:rFonts w:cs="Arial"/>
          <w:b/>
          <w:sz w:val="24"/>
        </w:rPr>
        <w:t>3GPP TSG-RAN WG2 #125bis</w:t>
      </w:r>
      <w:r w:rsidRPr="004117F0">
        <w:rPr>
          <w:rFonts w:cs="Arial"/>
          <w:b/>
          <w:sz w:val="24"/>
        </w:rPr>
        <w:tab/>
      </w:r>
      <w:bookmarkEnd w:id="1"/>
      <w:r w:rsidR="00E96544" w:rsidRPr="00E96544">
        <w:rPr>
          <w:rFonts w:cs="Arial"/>
          <w:b/>
          <w:sz w:val="24"/>
        </w:rPr>
        <w:t>R2-2403638</w:t>
      </w:r>
    </w:p>
    <w:p w14:paraId="1EE3F2B2" w14:textId="77777777" w:rsidR="00955449" w:rsidRPr="004117F0" w:rsidRDefault="00955449" w:rsidP="00955449">
      <w:pPr>
        <w:widowControl w:val="0"/>
        <w:tabs>
          <w:tab w:val="right" w:pos="9639"/>
        </w:tabs>
        <w:spacing w:after="0"/>
        <w:rPr>
          <w:rFonts w:cs="Arial"/>
          <w:b/>
          <w:sz w:val="24"/>
        </w:rPr>
      </w:pPr>
      <w:r w:rsidRPr="004117F0">
        <w:rPr>
          <w:rFonts w:cs="Arial"/>
          <w:b/>
          <w:sz w:val="24"/>
        </w:rPr>
        <w:t>Changsha, China, April 15 – April 19, 2024</w:t>
      </w:r>
    </w:p>
    <w:p w14:paraId="2E745AE3" w14:textId="77777777" w:rsidR="00E90E49" w:rsidRPr="00663F19" w:rsidRDefault="00E90E49" w:rsidP="00357380">
      <w:pPr>
        <w:pStyle w:val="3GPPHeader"/>
      </w:pPr>
    </w:p>
    <w:p w14:paraId="40CF7388" w14:textId="1EBE795B" w:rsidR="00E90E49" w:rsidRPr="00663F19" w:rsidRDefault="00E90E49" w:rsidP="00311702">
      <w:pPr>
        <w:pStyle w:val="3GPPHeader"/>
        <w:rPr>
          <w:sz w:val="22"/>
        </w:rPr>
      </w:pPr>
      <w:r w:rsidRPr="00663F19">
        <w:rPr>
          <w:sz w:val="22"/>
        </w:rPr>
        <w:t>Agenda Item:</w:t>
      </w:r>
      <w:r w:rsidRPr="00663F19">
        <w:rPr>
          <w:sz w:val="22"/>
        </w:rPr>
        <w:tab/>
      </w:r>
      <w:r w:rsidR="00955449" w:rsidRPr="00844A36">
        <w:rPr>
          <w:sz w:val="22"/>
        </w:rPr>
        <w:t>8.8.1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47E0E9B3" w:rsidR="00E90E49" w:rsidRPr="00663F19" w:rsidRDefault="003D3C45" w:rsidP="00311702">
      <w:pPr>
        <w:pStyle w:val="3GPPHeader"/>
        <w:rPr>
          <w:sz w:val="22"/>
        </w:rPr>
      </w:pPr>
      <w:r w:rsidRPr="00663F19">
        <w:rPr>
          <w:sz w:val="22"/>
        </w:rPr>
        <w:t>Title:</w:t>
      </w:r>
      <w:r w:rsidR="00E90E49" w:rsidRPr="00663F19">
        <w:rPr>
          <w:sz w:val="22"/>
        </w:rPr>
        <w:tab/>
      </w:r>
      <w:r w:rsidR="00B81C2D">
        <w:rPr>
          <w:sz w:val="22"/>
        </w:rPr>
        <w:t xml:space="preserve">NR </w:t>
      </w:r>
      <w:r w:rsidR="0015455E" w:rsidRPr="00663F19">
        <w:rPr>
          <w:sz w:val="22"/>
        </w:rPr>
        <w:t>NTN</w:t>
      </w:r>
      <w:r w:rsidR="002A2A3F" w:rsidRPr="00663F19">
        <w:rPr>
          <w:sz w:val="22"/>
        </w:rPr>
        <w:t xml:space="preserve"> </w:t>
      </w:r>
      <w:r w:rsidR="00841AE2">
        <w:rPr>
          <w:sz w:val="22"/>
        </w:rPr>
        <w:t xml:space="preserve">phase 3 </w:t>
      </w:r>
      <w:r w:rsidR="00772B62" w:rsidRPr="00663F19">
        <w:rPr>
          <w:sz w:val="22"/>
        </w:rPr>
        <w:t>s</w:t>
      </w:r>
      <w:r w:rsidR="0015455E" w:rsidRPr="00663F19">
        <w:rPr>
          <w:sz w:val="22"/>
        </w:rPr>
        <w:t>cope</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CE0424">
      <w:pPr>
        <w:pStyle w:val="Heading1"/>
      </w:pPr>
      <w:r>
        <w:t>1</w:t>
      </w:r>
      <w:r>
        <w:tab/>
      </w:r>
      <w:r w:rsidR="00E90E49" w:rsidRPr="00CE0424">
        <w:t>Introduction</w:t>
      </w:r>
    </w:p>
    <w:p w14:paraId="25CA072B" w14:textId="4AD4D868" w:rsidR="00DF0344" w:rsidRPr="00DF0344" w:rsidRDefault="007C7E7D" w:rsidP="00786327">
      <w:pPr>
        <w:rPr>
          <w:rFonts w:eastAsia="SimSun" w:cs="Arial"/>
          <w:bCs/>
          <w:kern w:val="0"/>
          <w:szCs w:val="20"/>
          <w:lang w:eastAsia="en-GB"/>
          <w14:ligatures w14:val="none"/>
        </w:rPr>
      </w:pPr>
      <w:r>
        <w:t>The third WI</w:t>
      </w:r>
      <w:r w:rsidR="00DF0344">
        <w:t>D</w:t>
      </w:r>
      <w:r>
        <w:t xml:space="preserve"> on NTN for NR was agreed in </w:t>
      </w:r>
      <w:r w:rsidR="0015455E">
        <w:fldChar w:fldCharType="begin"/>
      </w:r>
      <w:r w:rsidR="0015455E" w:rsidRPr="00663F19">
        <w:instrText xml:space="preserve"> REF _Ref45286859 \r \h </w:instrText>
      </w:r>
      <w:r w:rsidR="00786327">
        <w:instrText xml:space="preserve"> \* MERGEFORMAT </w:instrText>
      </w:r>
      <w:r w:rsidR="0015455E">
        <w:fldChar w:fldCharType="separate"/>
      </w:r>
      <w:r w:rsidR="00511D8D">
        <w:t>[1]</w:t>
      </w:r>
      <w:r w:rsidR="0015455E">
        <w:fldChar w:fldCharType="end"/>
      </w:r>
      <w:r w:rsidR="0015455E" w:rsidRPr="00663F19">
        <w:t>.</w:t>
      </w:r>
      <w:r w:rsidR="00672C9A" w:rsidRPr="00663F19">
        <w:t xml:space="preserve"> </w:t>
      </w:r>
      <w:r w:rsidR="00786327">
        <w:rPr>
          <w:lang w:val="en-US"/>
        </w:rPr>
        <w:t xml:space="preserve"> </w:t>
      </w:r>
      <w:r w:rsidR="002A2A3F" w:rsidRPr="00663F19">
        <w:t xml:space="preserve">In this contribution, we provide an overview of </w:t>
      </w:r>
      <w:r w:rsidR="00672C9A" w:rsidRPr="00663F19">
        <w:t xml:space="preserve">NTN </w:t>
      </w:r>
      <w:r w:rsidR="00DF0344">
        <w:t>objectives</w:t>
      </w:r>
      <w:r w:rsidR="007977D5">
        <w:t xml:space="preserve"> and the needed studies and new specifications needed</w:t>
      </w:r>
      <w:r w:rsidR="00672C9A" w:rsidRPr="00663F19">
        <w:t>.</w:t>
      </w:r>
      <w:r w:rsidR="00786327">
        <w:rPr>
          <w:lang w:val="en-US"/>
        </w:rPr>
        <w:t xml:space="preserve"> </w:t>
      </w:r>
      <w:r w:rsidR="00DF0344" w:rsidRPr="00DF0344">
        <w:rPr>
          <w:rFonts w:cs="Arial"/>
          <w:bCs/>
        </w:rPr>
        <w:t xml:space="preserve">The objectives of the work item </w:t>
      </w:r>
      <w:r w:rsidR="00DF0344" w:rsidRPr="00DF0344">
        <w:rPr>
          <w:rFonts w:cs="Arial"/>
        </w:rPr>
        <w:fldChar w:fldCharType="begin"/>
      </w:r>
      <w:r w:rsidR="00DF0344" w:rsidRPr="00DF0344">
        <w:rPr>
          <w:rFonts w:cs="Arial"/>
        </w:rPr>
        <w:instrText xml:space="preserve"> REF _Ref45286859 \r \h </w:instrText>
      </w:r>
      <w:r w:rsidR="00DF0344">
        <w:rPr>
          <w:rFonts w:cs="Arial"/>
        </w:rPr>
        <w:instrText xml:space="preserve"> \* MERGEFORMAT </w:instrText>
      </w:r>
      <w:r w:rsidR="00DF0344" w:rsidRPr="00DF0344">
        <w:rPr>
          <w:rFonts w:cs="Arial"/>
        </w:rPr>
      </w:r>
      <w:r w:rsidR="00DF0344" w:rsidRPr="00DF0344">
        <w:rPr>
          <w:rFonts w:cs="Arial"/>
        </w:rPr>
        <w:fldChar w:fldCharType="separate"/>
      </w:r>
      <w:r w:rsidR="00511D8D">
        <w:rPr>
          <w:rFonts w:cs="Arial"/>
        </w:rPr>
        <w:t>[1]</w:t>
      </w:r>
      <w:r w:rsidR="00DF0344" w:rsidRPr="00DF0344">
        <w:rPr>
          <w:rFonts w:cs="Arial"/>
        </w:rPr>
        <w:fldChar w:fldCharType="end"/>
      </w:r>
      <w:r w:rsidR="00DF0344" w:rsidRPr="00DF0344">
        <w:rPr>
          <w:rFonts w:cs="Arial"/>
          <w:bCs/>
        </w:rPr>
        <w:t xml:space="preserve"> are:</w:t>
      </w:r>
    </w:p>
    <w:p w14:paraId="5281C6E0" w14:textId="77777777" w:rsidR="00DF0344" w:rsidRDefault="00DF0344" w:rsidP="00DF0344">
      <w:pPr>
        <w:spacing w:after="0" w:line="276" w:lineRule="auto"/>
        <w:rPr>
          <w:bCs/>
        </w:rPr>
      </w:pPr>
    </w:p>
    <w:p w14:paraId="57B75970" w14:textId="77777777" w:rsidR="00DF0344" w:rsidRDefault="00DF0344" w:rsidP="00DF0344">
      <w:pPr>
        <w:numPr>
          <w:ilvl w:val="0"/>
          <w:numId w:val="36"/>
        </w:numPr>
        <w:overflowPunct w:val="0"/>
        <w:autoSpaceDE w:val="0"/>
        <w:autoSpaceDN w:val="0"/>
        <w:adjustRightInd w:val="0"/>
        <w:spacing w:after="0" w:line="276" w:lineRule="auto"/>
        <w:rPr>
          <w:rFonts w:eastAsia="Calibri"/>
          <w:lang w:val="en-US" w:eastAsia="ko-KR"/>
        </w:rPr>
      </w:pPr>
      <w:r>
        <w:rPr>
          <w:rFonts w:eastAsia="Calibri"/>
          <w:lang w:val="en-US" w:eastAsia="ko-KR"/>
        </w:rPr>
        <w:t>Study and specify if beneficial downlink coverage enhancements targeting support for additional reference satellite payload parameters covering both GSO and NGSO constellations operating in FR1-NTN or FR2-NTN [RAN1, RAN2, RAN4]</w:t>
      </w:r>
    </w:p>
    <w:p w14:paraId="2FEF0444"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lang w:val="en-GB" w:eastAsia="en-GB"/>
        </w:rPr>
      </w:pPr>
      <w:r>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F8371BA"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0AEE248"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02BCBC9"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Notes for this objective:</w:t>
      </w:r>
    </w:p>
    <w:p w14:paraId="2B359997"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SSB channel enhancement is not considered</w:t>
      </w:r>
    </w:p>
    <w:p w14:paraId="4251F8D8"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14:paraId="5DC4472A"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NGSO to be considered in priority: LEO Set-1 @ 600 km</w:t>
      </w:r>
    </w:p>
    <w:p w14:paraId="4DEB0826"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Rel-18 network energy saving techniques should be considered as baseline in the system level study</w:t>
      </w:r>
    </w:p>
    <w:p w14:paraId="4CA4773D" w14:textId="77777777" w:rsidR="00DF0344" w:rsidRDefault="00DF0344" w:rsidP="00DF0344">
      <w:pPr>
        <w:spacing w:after="0" w:line="276" w:lineRule="auto"/>
        <w:rPr>
          <w:rFonts w:ascii="Times New Roman" w:eastAsia="Malgun Gothic" w:hAnsi="Times New Roman"/>
          <w:szCs w:val="20"/>
          <w:lang w:val="en-US" w:eastAsia="ko-KR"/>
        </w:rPr>
      </w:pPr>
    </w:p>
    <w:p w14:paraId="1AA3052E" w14:textId="77777777" w:rsidR="00DF0344" w:rsidRDefault="00DF0344" w:rsidP="00DF0344">
      <w:pPr>
        <w:numPr>
          <w:ilvl w:val="0"/>
          <w:numId w:val="36"/>
        </w:numPr>
        <w:overflowPunct w:val="0"/>
        <w:autoSpaceDE w:val="0"/>
        <w:autoSpaceDN w:val="0"/>
        <w:adjustRightInd w:val="0"/>
        <w:spacing w:after="0" w:line="276" w:lineRule="auto"/>
        <w:rPr>
          <w:rFonts w:eastAsia="Calibri"/>
          <w:lang w:val="en-US" w:eastAsia="ko-KR"/>
        </w:rPr>
      </w:pPr>
      <w:r>
        <w:rPr>
          <w:rFonts w:eastAsia="Calibri"/>
          <w:lang w:val="en-US" w:eastAsia="ko-KR"/>
        </w:rPr>
        <w:t>Uplink Capacity/Throughput Enhancement for FR1-NTN [RAN1, RAN2, RAN4]</w:t>
      </w:r>
    </w:p>
    <w:p w14:paraId="7B0A6F8D"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lang w:val="en-GB" w:eastAsia="en-GB"/>
        </w:rPr>
      </w:pPr>
      <w:r>
        <w:rPr>
          <w:rFonts w:ascii="Times New Roman" w:hAnsi="Times New Roman"/>
          <w:szCs w:val="20"/>
        </w:rPr>
        <w:t>Study then specify, if beneficial, DFT-s-OFDM PUSCH enhancements via Orthogonal Cover Codes (OCC)</w:t>
      </w:r>
    </w:p>
    <w:p w14:paraId="5A667D1E"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Determine the achievable capacity improvement to be targeted taking into account realistic impairments (e.g. Doppler, time variation, phase distortion, etc)</w:t>
      </w:r>
    </w:p>
    <w:p w14:paraId="28DABC58"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 xml:space="preserve">Specify necessary signalling, if needed </w:t>
      </w:r>
    </w:p>
    <w:p w14:paraId="6A784AA4"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lastRenderedPageBreak/>
        <w:t>Update RF requirements accordingly, if needed</w:t>
      </w:r>
    </w:p>
    <w:p w14:paraId="23D46B25"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Note: The study can consider orthogonal cover codes across OFDM symbols, across slots, and/or within an OFDM symbol.</w:t>
      </w:r>
    </w:p>
    <w:p w14:paraId="271F1DB2"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Note: the study phase is targeted to be completed by RAN#104</w:t>
      </w:r>
    </w:p>
    <w:p w14:paraId="6FC2F26E"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Notes for this objective:</w:t>
      </w:r>
    </w:p>
    <w:p w14:paraId="24DB4BB7"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The enhancement is not targeting improvements/impacts of MU-MIMO capability</w:t>
      </w:r>
    </w:p>
    <w:p w14:paraId="0BF478BC"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The enhancement is not targeted to PUSCH DMRS</w:t>
      </w:r>
    </w:p>
    <w:p w14:paraId="3CC88230"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No enhancement for initial access</w:t>
      </w:r>
    </w:p>
    <w:p w14:paraId="7337469F"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Enhancements to PRACH are not in scope.</w:t>
      </w:r>
    </w:p>
    <w:p w14:paraId="2A9D4423"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This feature may be applicable for UEs operating in terrestrial networks based on a common design</w:t>
      </w:r>
    </w:p>
    <w:p w14:paraId="6E4BCEA6" w14:textId="77777777" w:rsidR="00DF0344" w:rsidRDefault="00DF0344" w:rsidP="00DF0344">
      <w:pPr>
        <w:spacing w:after="0" w:line="276" w:lineRule="auto"/>
        <w:rPr>
          <w:rFonts w:ascii="Times New Roman" w:eastAsia="Malgun Gothic" w:hAnsi="Times New Roman"/>
          <w:szCs w:val="20"/>
          <w:lang w:eastAsia="ko-KR"/>
        </w:rPr>
      </w:pPr>
    </w:p>
    <w:p w14:paraId="59029374" w14:textId="77777777" w:rsidR="00DF0344" w:rsidRDefault="00DF0344" w:rsidP="00DF0344">
      <w:pPr>
        <w:numPr>
          <w:ilvl w:val="0"/>
          <w:numId w:val="36"/>
        </w:numPr>
        <w:overflowPunct w:val="0"/>
        <w:autoSpaceDE w:val="0"/>
        <w:autoSpaceDN w:val="0"/>
        <w:adjustRightInd w:val="0"/>
        <w:spacing w:after="0" w:line="276" w:lineRule="auto"/>
        <w:rPr>
          <w:rFonts w:eastAsia="Malgun Gothic"/>
          <w:lang w:val="en-US" w:eastAsia="ko-KR"/>
        </w:rPr>
      </w:pPr>
      <w:r>
        <w:rPr>
          <w:rFonts w:eastAsia="Malgun Gothic"/>
          <w:lang w:val="en-US" w:eastAsia="ko-KR"/>
        </w:rPr>
        <w:t>Specify signaling of the intended service area of a broadcast service (e.g. MBS broadcast) via NR NTN [RAN2, RAN3]</w:t>
      </w:r>
    </w:p>
    <w:p w14:paraId="52DFAFDE" w14:textId="77777777" w:rsidR="00DF0344" w:rsidRDefault="00DF0344" w:rsidP="00DF0344">
      <w:pPr>
        <w:pStyle w:val="ListParagraph"/>
        <w:widowControl w:val="0"/>
        <w:numPr>
          <w:ilvl w:val="0"/>
          <w:numId w:val="37"/>
        </w:numPr>
        <w:spacing w:line="276" w:lineRule="auto"/>
        <w:ind w:hanging="357"/>
        <w:contextualSpacing/>
        <w:jc w:val="both"/>
        <w:rPr>
          <w:rFonts w:ascii="Times New Roman" w:hAnsi="Times New Roman"/>
          <w:szCs w:val="20"/>
          <w:lang w:val="en-GB" w:eastAsia="en-GB"/>
        </w:rPr>
      </w:pPr>
      <w:r>
        <w:rPr>
          <w:rFonts w:ascii="Times New Roman" w:hAnsi="Times New Roman"/>
          <w:szCs w:val="20"/>
        </w:rPr>
        <w:t>Specify SIB signaling to indicate the intended service area in case the satellite footprint covers a larger area. [RAN2]</w:t>
      </w:r>
    </w:p>
    <w:p w14:paraId="6A6AB29C" w14:textId="77777777" w:rsidR="00DF0344" w:rsidRDefault="00DF0344" w:rsidP="00DF0344">
      <w:pPr>
        <w:pStyle w:val="ListParagraph"/>
        <w:widowControl w:val="0"/>
        <w:numPr>
          <w:ilvl w:val="0"/>
          <w:numId w:val="37"/>
        </w:numPr>
        <w:spacing w:line="276" w:lineRule="auto"/>
        <w:ind w:hanging="357"/>
        <w:contextualSpacing/>
        <w:jc w:val="both"/>
        <w:rPr>
          <w:rFonts w:ascii="Times New Roman" w:hAnsi="Times New Roman"/>
          <w:szCs w:val="20"/>
        </w:rPr>
      </w:pPr>
      <w:r>
        <w:rPr>
          <w:rFonts w:ascii="Times New Roman" w:hAnsi="Times New Roman"/>
          <w:szCs w:val="20"/>
        </w:rPr>
        <w:t>Specify the necessary signaling between CN and NG-RAN. [RAN3]</w:t>
      </w:r>
    </w:p>
    <w:p w14:paraId="1A52F825" w14:textId="77777777" w:rsidR="00DF0344" w:rsidRDefault="00DF0344" w:rsidP="00DF0344">
      <w:pPr>
        <w:spacing w:after="0" w:line="276" w:lineRule="auto"/>
        <w:rPr>
          <w:rFonts w:ascii="Times New Roman" w:eastAsia="Malgun Gothic" w:hAnsi="Times New Roman"/>
          <w:szCs w:val="20"/>
          <w:lang w:val="en-US" w:eastAsia="ko-KR"/>
        </w:rPr>
      </w:pPr>
    </w:p>
    <w:p w14:paraId="1C6C0E16" w14:textId="77777777" w:rsidR="00DF0344" w:rsidRDefault="00DF0344" w:rsidP="00DF0344">
      <w:pPr>
        <w:numPr>
          <w:ilvl w:val="0"/>
          <w:numId w:val="36"/>
        </w:numPr>
        <w:overflowPunct w:val="0"/>
        <w:autoSpaceDE w:val="0"/>
        <w:autoSpaceDN w:val="0"/>
        <w:adjustRightInd w:val="0"/>
        <w:spacing w:after="0" w:line="276" w:lineRule="auto"/>
        <w:rPr>
          <w:rFonts w:eastAsia="Calibri"/>
          <w:lang w:val="en-US" w:eastAsia="ko-KR"/>
        </w:rPr>
      </w:pPr>
      <w:bookmarkStart w:id="2" w:name="_Hlk153358806"/>
      <w:r>
        <w:rPr>
          <w:rFonts w:eastAsia="Malgun Gothic"/>
          <w:lang w:val="en-US" w:eastAsia="ko-KR"/>
        </w:rPr>
        <w:t>Support of regenerative payload [RAN3, RAN2, RAN4]</w:t>
      </w:r>
    </w:p>
    <w:p w14:paraId="78651F5B"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lang w:val="en-GB" w:eastAsia="en-GB"/>
        </w:rPr>
      </w:pPr>
      <w:r>
        <w:rPr>
          <w:rFonts w:ascii="Times New Roman" w:hAnsi="Times New Roman"/>
          <w:szCs w:val="20"/>
        </w:rPr>
        <w:t>Specify the support of gNB on board in TS 38.300</w:t>
      </w:r>
    </w:p>
    <w:p w14:paraId="5A70DD31"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Specify, if needed, any necessary enhancements related to the intra and inter-gNB mobility, especially for Xn interface over feeder link or over ISL. [RAN3]</w:t>
      </w:r>
    </w:p>
    <w:p w14:paraId="36E299D0"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Note: if any additional necessary stage-3 specifications impact for e.g. NGAP is identified, RAN3 will handle it.</w:t>
      </w:r>
    </w:p>
    <w:bookmarkEnd w:id="2"/>
    <w:p w14:paraId="2E338174" w14:textId="77777777" w:rsidR="00DF0344" w:rsidRDefault="00DF0344" w:rsidP="00DF0344">
      <w:pPr>
        <w:spacing w:after="0" w:line="276" w:lineRule="auto"/>
        <w:rPr>
          <w:rFonts w:ascii="Times New Roman" w:hAnsi="Times New Roman"/>
          <w:bCs/>
          <w:szCs w:val="20"/>
        </w:rPr>
      </w:pPr>
    </w:p>
    <w:p w14:paraId="79981527" w14:textId="77777777" w:rsidR="00DF0344" w:rsidRDefault="00DF0344" w:rsidP="00DF0344">
      <w:pPr>
        <w:numPr>
          <w:ilvl w:val="0"/>
          <w:numId w:val="36"/>
        </w:numPr>
        <w:overflowPunct w:val="0"/>
        <w:autoSpaceDE w:val="0"/>
        <w:autoSpaceDN w:val="0"/>
        <w:adjustRightInd w:val="0"/>
        <w:spacing w:after="0" w:line="276" w:lineRule="auto"/>
        <w:rPr>
          <w:rFonts w:eastAsia="Malgun Gothic"/>
          <w:lang w:val="en-US" w:eastAsia="ko-KR"/>
        </w:rPr>
      </w:pPr>
      <w:r>
        <w:rPr>
          <w:rFonts w:eastAsia="Malgun Gothic"/>
          <w:lang w:val="en-US" w:eastAsia="ko-KR"/>
        </w:rPr>
        <w:t>Support of Rel-17 RedCap and Rel-18 eRedCap UEs with NR NTN operating in FR1-NTN bands [RAN4, RAN1]</w:t>
      </w:r>
    </w:p>
    <w:p w14:paraId="5A706417"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lang w:val="en-GB" w:eastAsia="en-GB"/>
        </w:rPr>
      </w:pPr>
      <w:r>
        <w:rPr>
          <w:rFonts w:ascii="Times New Roman" w:hAnsi="Times New Roman"/>
          <w:szCs w:val="20"/>
        </w:rPr>
        <w:t>For full-duplex FDD RedCap and eRedCap UEs, define the RF and RRM requirements [RAN4]</w:t>
      </w:r>
    </w:p>
    <w:p w14:paraId="24BCA7FD"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For HD-FDD RedCap UEs and eRedCap UEs, check whether any essential changes are needed for their support (i.e. focusing on HD collision rules) by end of Q2/2024 [RAN1]</w:t>
      </w:r>
    </w:p>
    <w:p w14:paraId="74856262" w14:textId="77777777" w:rsidR="00DF0344" w:rsidRDefault="00DF0344" w:rsidP="00DF0344">
      <w:pPr>
        <w:pStyle w:val="ListParagraph"/>
        <w:widowControl w:val="0"/>
        <w:numPr>
          <w:ilvl w:val="1"/>
          <w:numId w:val="37"/>
        </w:numPr>
        <w:spacing w:line="276" w:lineRule="auto"/>
        <w:contextualSpacing/>
        <w:jc w:val="both"/>
        <w:rPr>
          <w:rFonts w:ascii="Times New Roman" w:hAnsi="Times New Roman"/>
          <w:szCs w:val="20"/>
        </w:rPr>
      </w:pPr>
      <w:r>
        <w:rPr>
          <w:rFonts w:ascii="Times New Roman" w:hAnsi="Times New Roman"/>
          <w:szCs w:val="20"/>
        </w:rPr>
        <w:t>Depending on feasibility assessment above, define the RF and RRM requirements [RAN4]</w:t>
      </w:r>
    </w:p>
    <w:p w14:paraId="3C1C42C3" w14:textId="77777777" w:rsidR="00DF0344" w:rsidRDefault="00DF0344" w:rsidP="00DF0344">
      <w:pPr>
        <w:pStyle w:val="ListParagraph"/>
        <w:widowControl w:val="0"/>
        <w:numPr>
          <w:ilvl w:val="0"/>
          <w:numId w:val="37"/>
        </w:numPr>
        <w:spacing w:line="276" w:lineRule="auto"/>
        <w:contextualSpacing/>
        <w:jc w:val="both"/>
        <w:rPr>
          <w:rFonts w:ascii="Times New Roman" w:hAnsi="Times New Roman"/>
          <w:szCs w:val="20"/>
        </w:rPr>
      </w:pPr>
      <w:r>
        <w:rPr>
          <w:rFonts w:ascii="Times New Roman" w:hAnsi="Times New Roman"/>
          <w:szCs w:val="20"/>
        </w:rPr>
        <w:t>Notes for this objective:</w:t>
      </w:r>
    </w:p>
    <w:p w14:paraId="233A01BE" w14:textId="77777777" w:rsidR="00DF0344" w:rsidRPr="00DF0344" w:rsidRDefault="00DF0344" w:rsidP="00DF0344">
      <w:pPr>
        <w:rPr>
          <w:lang w:eastAsia="ja-JP"/>
        </w:rPr>
      </w:pPr>
      <w:r>
        <w:t>GNSS (Global Navigation Satellite Systems) capabilities and simultaneous GNSS and NR-NTN operation is supported in RedCap/eRedCap UE.</w:t>
      </w:r>
    </w:p>
    <w:p w14:paraId="5E506856" w14:textId="5664A0FF" w:rsidR="00B96390" w:rsidRPr="00663F19" w:rsidRDefault="00B96390" w:rsidP="00CE0424">
      <w:pPr>
        <w:pStyle w:val="BodyText"/>
      </w:pPr>
    </w:p>
    <w:p w14:paraId="4C9C8AB3" w14:textId="45ADA6D2" w:rsidR="004000E8" w:rsidRDefault="00230D18" w:rsidP="00CE0424">
      <w:pPr>
        <w:pStyle w:val="Heading1"/>
      </w:pPr>
      <w:bookmarkStart w:id="3" w:name="_Ref178064866"/>
      <w:r>
        <w:t>2</w:t>
      </w:r>
      <w:r>
        <w:tab/>
      </w:r>
      <w:bookmarkEnd w:id="3"/>
      <w:r w:rsidR="00AB1B7B">
        <w:t>WID Assumptions for the objectives</w:t>
      </w:r>
    </w:p>
    <w:p w14:paraId="02C6D432" w14:textId="12C3FB24" w:rsidR="00F32343" w:rsidRDefault="00DF0344" w:rsidP="00DF0344">
      <w:pPr>
        <w:jc w:val="both"/>
        <w:rPr>
          <w:rFonts w:cs="Arial"/>
          <w:lang w:eastAsia="ja-JP"/>
        </w:rPr>
      </w:pPr>
      <w:r>
        <w:rPr>
          <w:rFonts w:cs="Arial"/>
          <w:lang w:eastAsia="ja-JP"/>
        </w:rPr>
        <w:t>The enhancements are made assuming</w:t>
      </w:r>
      <w:r w:rsidR="00F32343">
        <w:rPr>
          <w:rFonts w:cs="Arial"/>
          <w:lang w:eastAsia="ja-JP"/>
        </w:rPr>
        <w:t xml:space="preserve">: </w:t>
      </w:r>
    </w:p>
    <w:p w14:paraId="12A19D31" w14:textId="24EB35C5" w:rsidR="00DF0344" w:rsidRDefault="00DF0344" w:rsidP="00F32343">
      <w:pPr>
        <w:pStyle w:val="ListParagraph"/>
        <w:numPr>
          <w:ilvl w:val="0"/>
          <w:numId w:val="37"/>
        </w:numPr>
        <w:jc w:val="both"/>
        <w:rPr>
          <w:rFonts w:ascii="Arial" w:hAnsi="Arial" w:cs="Arial"/>
          <w:lang w:eastAsia="ja-JP"/>
        </w:rPr>
      </w:pPr>
      <w:r w:rsidRPr="00F32343">
        <w:rPr>
          <w:rFonts w:ascii="Arial" w:hAnsi="Arial" w:cs="Arial"/>
          <w:lang w:eastAsia="ja-JP"/>
        </w:rPr>
        <w:t>GSO and NGSO</w:t>
      </w:r>
      <w:r w:rsidR="00FF7C0C">
        <w:rPr>
          <w:rFonts w:ascii="Arial" w:hAnsi="Arial" w:cs="Arial"/>
          <w:lang w:val="en-GB" w:eastAsia="ja-JP"/>
        </w:rPr>
        <w:t>,</w:t>
      </w:r>
      <w:r w:rsidRPr="00F32343">
        <w:rPr>
          <w:rFonts w:ascii="Arial" w:hAnsi="Arial" w:cs="Arial"/>
          <w:lang w:eastAsia="ja-JP"/>
        </w:rPr>
        <w:t xml:space="preserve"> including LEO and MEO</w:t>
      </w:r>
    </w:p>
    <w:p w14:paraId="5296B475" w14:textId="153F5543" w:rsidR="00F32343" w:rsidRPr="00F32343" w:rsidRDefault="00F32343" w:rsidP="00F32343">
      <w:pPr>
        <w:pStyle w:val="ListParagraph"/>
        <w:numPr>
          <w:ilvl w:val="0"/>
          <w:numId w:val="37"/>
        </w:numPr>
        <w:jc w:val="both"/>
        <w:rPr>
          <w:rFonts w:ascii="Arial" w:hAnsi="Arial" w:cs="Arial"/>
          <w:lang w:eastAsia="ja-JP"/>
        </w:rPr>
      </w:pPr>
      <w:r>
        <w:rPr>
          <w:rFonts w:ascii="Arial" w:hAnsi="Arial" w:cs="Arial"/>
          <w:lang w:val="en-GB" w:eastAsia="ja-JP"/>
        </w:rPr>
        <w:t>Earth fixed tracking areas</w:t>
      </w:r>
    </w:p>
    <w:p w14:paraId="0C5D00C8" w14:textId="6CEABB2E" w:rsidR="00F32343" w:rsidRPr="00F32343" w:rsidRDefault="00F32343" w:rsidP="00F32343">
      <w:pPr>
        <w:pStyle w:val="ListParagraph"/>
        <w:numPr>
          <w:ilvl w:val="0"/>
          <w:numId w:val="37"/>
        </w:numPr>
        <w:jc w:val="both"/>
        <w:rPr>
          <w:rFonts w:ascii="Arial" w:hAnsi="Arial" w:cs="Arial"/>
          <w:lang w:eastAsia="ja-JP"/>
        </w:rPr>
      </w:pPr>
      <w:r>
        <w:rPr>
          <w:rFonts w:ascii="Arial" w:hAnsi="Arial" w:cs="Arial"/>
          <w:lang w:val="en-GB" w:eastAsia="ja-JP"/>
        </w:rPr>
        <w:t>Earth fixed and Earth moving cells for NGSO</w:t>
      </w:r>
    </w:p>
    <w:p w14:paraId="3BD0D53B" w14:textId="2D9E3AD5" w:rsidR="00F32343" w:rsidRPr="00F32343" w:rsidRDefault="00F32343" w:rsidP="00F32343">
      <w:pPr>
        <w:pStyle w:val="ListParagraph"/>
        <w:numPr>
          <w:ilvl w:val="0"/>
          <w:numId w:val="37"/>
        </w:numPr>
        <w:jc w:val="both"/>
        <w:rPr>
          <w:rFonts w:ascii="Arial" w:hAnsi="Arial" w:cs="Arial"/>
          <w:lang w:eastAsia="ja-JP"/>
        </w:rPr>
      </w:pPr>
      <w:r>
        <w:rPr>
          <w:rFonts w:ascii="Arial" w:hAnsi="Arial" w:cs="Arial"/>
          <w:lang w:val="en-GB" w:eastAsia="ja-JP"/>
        </w:rPr>
        <w:t>FDD mode</w:t>
      </w:r>
    </w:p>
    <w:p w14:paraId="07DDCE6F" w14:textId="1E21F42A" w:rsidR="00F32343" w:rsidRPr="00F32343" w:rsidRDefault="00F32343" w:rsidP="00F32343">
      <w:pPr>
        <w:pStyle w:val="ListParagraph"/>
        <w:numPr>
          <w:ilvl w:val="0"/>
          <w:numId w:val="37"/>
        </w:numPr>
        <w:jc w:val="both"/>
        <w:rPr>
          <w:rFonts w:ascii="Arial" w:hAnsi="Arial" w:cs="Arial"/>
          <w:lang w:eastAsia="ja-JP"/>
        </w:rPr>
      </w:pPr>
      <w:r>
        <w:rPr>
          <w:rFonts w:ascii="Arial" w:hAnsi="Arial" w:cs="Arial"/>
          <w:lang w:val="en-GB" w:eastAsia="ja-JP"/>
        </w:rPr>
        <w:t>UEs with GNSS capabilities</w:t>
      </w:r>
    </w:p>
    <w:p w14:paraId="3CF94766" w14:textId="77777777" w:rsidR="00F32343" w:rsidRPr="00F32343" w:rsidRDefault="00F32343" w:rsidP="00F32343">
      <w:pPr>
        <w:pStyle w:val="ListParagraph"/>
        <w:numPr>
          <w:ilvl w:val="0"/>
          <w:numId w:val="37"/>
        </w:numPr>
        <w:jc w:val="both"/>
        <w:rPr>
          <w:rFonts w:ascii="Arial" w:hAnsi="Arial" w:cs="Arial"/>
          <w:lang w:eastAsia="ja-JP"/>
        </w:rPr>
      </w:pPr>
      <w:r w:rsidRPr="00F32343">
        <w:rPr>
          <w:rFonts w:ascii="Arial" w:hAnsi="Arial" w:cs="Arial"/>
          <w:lang w:eastAsia="ja-JP"/>
        </w:rPr>
        <w:t>In frequency band above 10 GHz, both Terminal Type 1 (Electronic steering antenna) and Type 2 (Mechanical steering antenna) to be considered for GSO and NGSO</w:t>
      </w:r>
    </w:p>
    <w:p w14:paraId="0CC007BC" w14:textId="4234F84F" w:rsidR="00F32343" w:rsidRPr="00F32343" w:rsidRDefault="00F32343" w:rsidP="00F32343">
      <w:pPr>
        <w:pStyle w:val="ListParagraph"/>
        <w:numPr>
          <w:ilvl w:val="0"/>
          <w:numId w:val="37"/>
        </w:numPr>
        <w:jc w:val="both"/>
        <w:rPr>
          <w:rFonts w:ascii="Arial" w:hAnsi="Arial" w:cs="Arial"/>
          <w:lang w:eastAsia="ja-JP"/>
        </w:rPr>
      </w:pPr>
      <w:r w:rsidRPr="00F32343">
        <w:rPr>
          <w:rFonts w:ascii="Arial" w:hAnsi="Arial" w:cs="Arial"/>
          <w:lang w:eastAsia="ja-JP"/>
        </w:rPr>
        <w:lastRenderedPageBreak/>
        <w:t>Implicit compatibility to support HAPS (High Altitude Platform Station) and ATG (Air To Ground) scenarios, where relevant</w:t>
      </w:r>
    </w:p>
    <w:p w14:paraId="7817939B" w14:textId="77777777" w:rsidR="00F32343" w:rsidRDefault="00F32343" w:rsidP="00F32343">
      <w:pPr>
        <w:jc w:val="both"/>
        <w:rPr>
          <w:rFonts w:cs="Arial"/>
          <w:lang w:eastAsia="ja-JP"/>
        </w:rPr>
      </w:pPr>
    </w:p>
    <w:p w14:paraId="33FFCC61" w14:textId="3B86A183" w:rsidR="00F32343" w:rsidRDefault="00F32343" w:rsidP="00F32343">
      <w:pPr>
        <w:jc w:val="both"/>
        <w:rPr>
          <w:rFonts w:cs="Arial"/>
          <w:lang w:eastAsia="ja-JP"/>
        </w:rPr>
      </w:pPr>
      <w:r w:rsidRPr="00F32343">
        <w:rPr>
          <w:rFonts w:cs="Arial"/>
          <w:lang w:eastAsia="ja-JP"/>
        </w:rPr>
        <w:t>Note 1: “VSAT” device with external antenna on moving platform is equivalent to a device that operate on platforms in motion, and this is referred to as ESIM (Earth Station In Motion).</w:t>
      </w:r>
    </w:p>
    <w:p w14:paraId="39692B08" w14:textId="77777777" w:rsidR="007712E0" w:rsidRDefault="007712E0" w:rsidP="003E3411">
      <w:pPr>
        <w:jc w:val="both"/>
        <w:rPr>
          <w:rFonts w:cs="Arial"/>
          <w:lang w:eastAsia="ja-JP"/>
        </w:rPr>
      </w:pPr>
    </w:p>
    <w:p w14:paraId="46E1281B" w14:textId="092DB443" w:rsidR="003E3411" w:rsidRDefault="003E3411" w:rsidP="003E3411">
      <w:pPr>
        <w:jc w:val="both"/>
        <w:rPr>
          <w:rFonts w:cs="Arial"/>
          <w:lang w:eastAsia="ja-JP"/>
        </w:rPr>
      </w:pPr>
      <w:r>
        <w:rPr>
          <w:rFonts w:cs="Arial"/>
          <w:lang w:eastAsia="ja-JP"/>
        </w:rPr>
        <w:t xml:space="preserve">These assumptions are not essentially different than what was assumed for phase 1 and 2. </w:t>
      </w:r>
    </w:p>
    <w:p w14:paraId="12A4B0B2" w14:textId="00510A83" w:rsidR="007712E0" w:rsidRPr="00EB6DCE" w:rsidRDefault="007712E0" w:rsidP="007712E0">
      <w:pPr>
        <w:pStyle w:val="Observation"/>
      </w:pPr>
      <w:bookmarkStart w:id="4" w:name="_Toc163144488"/>
      <w:r>
        <w:t>The assumptions are not essentially different from phase 1 and 2.</w:t>
      </w:r>
      <w:bookmarkEnd w:id="4"/>
      <w:r>
        <w:t xml:space="preserve"> </w:t>
      </w:r>
    </w:p>
    <w:p w14:paraId="36137762" w14:textId="1912C522" w:rsidR="00786327" w:rsidRDefault="00786327">
      <w:pPr>
        <w:spacing w:after="0" w:line="240" w:lineRule="auto"/>
        <w:rPr>
          <w:rFonts w:cs="Arial"/>
          <w:lang w:eastAsia="ja-JP"/>
        </w:rPr>
      </w:pPr>
      <w:r>
        <w:rPr>
          <w:rFonts w:cs="Arial"/>
          <w:lang w:eastAsia="ja-JP"/>
        </w:rPr>
        <w:br w:type="page"/>
      </w:r>
    </w:p>
    <w:p w14:paraId="4008D793" w14:textId="55A1C376" w:rsidR="00AB1B7B" w:rsidRDefault="00AB1B7B" w:rsidP="00AB1B7B">
      <w:pPr>
        <w:pStyle w:val="Heading1"/>
      </w:pPr>
      <w:r>
        <w:t>3</w:t>
      </w:r>
      <w:r>
        <w:tab/>
        <w:t>Objectives Discussions</w:t>
      </w:r>
    </w:p>
    <w:p w14:paraId="7793F2AB" w14:textId="77777777" w:rsidR="00AB1B7B" w:rsidRDefault="00AB1B7B" w:rsidP="006B2E8A">
      <w:pPr>
        <w:jc w:val="both"/>
        <w:rPr>
          <w:rFonts w:cs="Arial"/>
          <w:lang w:eastAsia="ja-JP"/>
        </w:rPr>
      </w:pPr>
    </w:p>
    <w:p w14:paraId="2C5282FB" w14:textId="1324D242" w:rsidR="00213980" w:rsidRPr="00C54537" w:rsidRDefault="00AB1B7B" w:rsidP="00C54537">
      <w:pPr>
        <w:pStyle w:val="Heading3"/>
      </w:pPr>
      <w:r w:rsidRPr="00C54537">
        <w:t>3</w:t>
      </w:r>
      <w:r w:rsidR="00213980" w:rsidRPr="00C54537">
        <w:t>.</w:t>
      </w:r>
      <w:r w:rsidRPr="00C54537">
        <w:t>1</w:t>
      </w:r>
      <w:r w:rsidR="00213980" w:rsidRPr="00C54537">
        <w:tab/>
        <w:t>Objective 1: downlink coverage enhancements</w:t>
      </w:r>
      <w:r w:rsidR="003E3411" w:rsidRPr="00C54537">
        <w:t xml:space="preserve"> </w:t>
      </w:r>
      <w:r w:rsidR="003E3411" w:rsidRPr="00C54537">
        <w:rPr>
          <w:rFonts w:eastAsia="Calibri"/>
        </w:rPr>
        <w:t xml:space="preserve">[RAN1, RAN2, RAN4] </w:t>
      </w:r>
    </w:p>
    <w:p w14:paraId="090B6B68" w14:textId="030FD0F8" w:rsidR="00213980" w:rsidRDefault="003E3411" w:rsidP="006B2E8A">
      <w:pPr>
        <w:jc w:val="both"/>
        <w:rPr>
          <w:rFonts w:cs="Arial"/>
          <w:lang w:eastAsia="ja-JP"/>
        </w:rPr>
      </w:pPr>
      <w:r>
        <w:rPr>
          <w:rFonts w:cs="Arial"/>
          <w:lang w:eastAsia="ja-JP"/>
        </w:rPr>
        <w:t xml:space="preserve">This objective shall be studied and specified if beneficial. The area to study and evaluate is Satellite beam power sharing and feeder link rate limits, including link and system level enhancements with evaluations and definition of KPIs for these and potential effects on the coverage. </w:t>
      </w:r>
      <w:r w:rsidR="00213980">
        <w:rPr>
          <w:rFonts w:cs="Arial"/>
          <w:lang w:eastAsia="ja-JP"/>
        </w:rPr>
        <w:t xml:space="preserve">The </w:t>
      </w:r>
      <w:r>
        <w:rPr>
          <w:rFonts w:cs="Arial"/>
          <w:lang w:eastAsia="ja-JP"/>
        </w:rPr>
        <w:t xml:space="preserve">evaluations mentioned in this objective are </w:t>
      </w:r>
      <w:r w:rsidR="00511D8D">
        <w:rPr>
          <w:rFonts w:cs="Arial"/>
          <w:lang w:eastAsia="ja-JP"/>
        </w:rPr>
        <w:t xml:space="preserve">of </w:t>
      </w:r>
      <w:r>
        <w:rPr>
          <w:rFonts w:cs="Arial"/>
          <w:lang w:eastAsia="ja-JP"/>
        </w:rPr>
        <w:t xml:space="preserve">RAN1 </w:t>
      </w:r>
      <w:r w:rsidR="00511D8D">
        <w:rPr>
          <w:rFonts w:cs="Arial"/>
          <w:lang w:eastAsia="ja-JP"/>
        </w:rPr>
        <w:t xml:space="preserve">scope </w:t>
      </w:r>
      <w:r>
        <w:rPr>
          <w:rFonts w:cs="Arial"/>
          <w:lang w:eastAsia="ja-JP"/>
        </w:rPr>
        <w:t xml:space="preserve">and RAN2 can await </w:t>
      </w:r>
      <w:r w:rsidR="009D2AB0">
        <w:rPr>
          <w:rFonts w:cs="Arial"/>
          <w:lang w:eastAsia="ja-JP"/>
        </w:rPr>
        <w:t>the</w:t>
      </w:r>
      <w:r>
        <w:rPr>
          <w:rFonts w:cs="Arial"/>
          <w:lang w:eastAsia="ja-JP"/>
        </w:rPr>
        <w:t xml:space="preserve"> results. </w:t>
      </w:r>
    </w:p>
    <w:p w14:paraId="7AF6C0E6" w14:textId="636D87CF" w:rsidR="007712E0" w:rsidRPr="008307C0" w:rsidRDefault="007712E0" w:rsidP="007712E0">
      <w:pPr>
        <w:pStyle w:val="Proposal"/>
        <w:tabs>
          <w:tab w:val="clear" w:pos="1304"/>
        </w:tabs>
        <w:ind w:left="1701" w:hanging="1701"/>
      </w:pPr>
      <w:bookmarkStart w:id="5" w:name="_Toc163144490"/>
      <w:r>
        <w:t>RAN2 waits for RAN1 input on downlink coverage enhancements.</w:t>
      </w:r>
      <w:bookmarkEnd w:id="5"/>
      <w:r>
        <w:t xml:space="preserve"> </w:t>
      </w:r>
    </w:p>
    <w:p w14:paraId="7CA9472C" w14:textId="77777777" w:rsidR="00213980" w:rsidRDefault="00213980" w:rsidP="006B2E8A">
      <w:pPr>
        <w:jc w:val="both"/>
        <w:rPr>
          <w:rFonts w:cs="Arial"/>
          <w:lang w:eastAsia="ja-JP"/>
        </w:rPr>
      </w:pPr>
    </w:p>
    <w:p w14:paraId="2ED173E6" w14:textId="40720E47" w:rsidR="00290B54" w:rsidRDefault="00AB1B7B" w:rsidP="00290B54">
      <w:pPr>
        <w:pStyle w:val="Heading2"/>
      </w:pPr>
      <w:r>
        <w:t>3</w:t>
      </w:r>
      <w:r w:rsidR="00290B54">
        <w:t>.</w:t>
      </w:r>
      <w:r>
        <w:t>2</w:t>
      </w:r>
      <w:r w:rsidR="00290B54">
        <w:tab/>
        <w:t xml:space="preserve">Objective 2: </w:t>
      </w:r>
      <w:r w:rsidR="00290B54">
        <w:rPr>
          <w:rFonts w:eastAsia="Calibri"/>
          <w:lang w:val="en-US" w:eastAsia="ko-KR"/>
        </w:rPr>
        <w:t xml:space="preserve">Uplink Capacity/Throughput Enhancement for FR1-NTN [RAN1, RAN2, RAN4] </w:t>
      </w:r>
    </w:p>
    <w:p w14:paraId="4AFBDEE3" w14:textId="6E307CDE" w:rsidR="00290B54" w:rsidRDefault="00290B54" w:rsidP="00290B54">
      <w:pPr>
        <w:jc w:val="both"/>
        <w:rPr>
          <w:rFonts w:cs="Arial"/>
          <w:lang w:eastAsia="ja-JP"/>
        </w:rPr>
      </w:pPr>
      <w:bookmarkStart w:id="6" w:name="_Hlk162484179"/>
      <w:r>
        <w:rPr>
          <w:rFonts w:cs="Arial"/>
          <w:lang w:eastAsia="ja-JP"/>
        </w:rPr>
        <w:t xml:space="preserve">This objective shall be studied and specified if beneficial. </w:t>
      </w:r>
      <w:bookmarkStart w:id="7" w:name="_Hlk162484277"/>
      <w:bookmarkEnd w:id="6"/>
      <w:r>
        <w:rPr>
          <w:rFonts w:cs="Arial"/>
          <w:lang w:eastAsia="ja-JP"/>
        </w:rPr>
        <w:t xml:space="preserve">The area to study is PUSCH orthogonal cover codes, and their effects on capacity and throughput. </w:t>
      </w:r>
      <w:bookmarkStart w:id="8" w:name="_Hlk162484385"/>
      <w:bookmarkEnd w:id="7"/>
      <w:r>
        <w:rPr>
          <w:rFonts w:cs="Arial"/>
          <w:lang w:eastAsia="ja-JP"/>
        </w:rPr>
        <w:t xml:space="preserve">The evaluations mentioned in this objective </w:t>
      </w:r>
      <w:r w:rsidR="00511D8D">
        <w:rPr>
          <w:rFonts w:cs="Arial"/>
          <w:lang w:eastAsia="ja-JP"/>
        </w:rPr>
        <w:t xml:space="preserve">of </w:t>
      </w:r>
      <w:r>
        <w:rPr>
          <w:rFonts w:cs="Arial"/>
          <w:lang w:eastAsia="ja-JP"/>
        </w:rPr>
        <w:t xml:space="preserve">RAN1 </w:t>
      </w:r>
      <w:r w:rsidR="00511D8D">
        <w:rPr>
          <w:rFonts w:cs="Arial"/>
          <w:lang w:eastAsia="ja-JP"/>
        </w:rPr>
        <w:t xml:space="preserve">scope </w:t>
      </w:r>
      <w:r>
        <w:rPr>
          <w:rFonts w:cs="Arial"/>
          <w:lang w:eastAsia="ja-JP"/>
        </w:rPr>
        <w:t xml:space="preserve">and RAN2 can await </w:t>
      </w:r>
      <w:r w:rsidR="009D2AB0">
        <w:rPr>
          <w:rFonts w:cs="Arial"/>
          <w:lang w:eastAsia="ja-JP"/>
        </w:rPr>
        <w:t>the</w:t>
      </w:r>
      <w:r>
        <w:rPr>
          <w:rFonts w:cs="Arial"/>
          <w:lang w:eastAsia="ja-JP"/>
        </w:rPr>
        <w:t xml:space="preserve"> results. </w:t>
      </w:r>
    </w:p>
    <w:p w14:paraId="7D0697B2" w14:textId="6C849162" w:rsidR="007977D5" w:rsidRPr="008307C0" w:rsidRDefault="007977D5" w:rsidP="007977D5">
      <w:pPr>
        <w:pStyle w:val="Proposal"/>
        <w:tabs>
          <w:tab w:val="clear" w:pos="1304"/>
        </w:tabs>
        <w:ind w:left="1701" w:hanging="1701"/>
      </w:pPr>
      <w:bookmarkStart w:id="9" w:name="_Toc163144491"/>
      <w:bookmarkEnd w:id="8"/>
      <w:r>
        <w:t>RAN2 waits for RAN1 input on uplink capacity and throughput enhancements.</w:t>
      </w:r>
      <w:bookmarkEnd w:id="9"/>
      <w:r>
        <w:t xml:space="preserve"> </w:t>
      </w:r>
    </w:p>
    <w:p w14:paraId="360A7A20" w14:textId="77777777" w:rsidR="00290B54" w:rsidRDefault="00290B54" w:rsidP="006B2E8A">
      <w:pPr>
        <w:jc w:val="both"/>
        <w:rPr>
          <w:rFonts w:cs="Arial"/>
          <w:lang w:eastAsia="ja-JP"/>
        </w:rPr>
      </w:pPr>
    </w:p>
    <w:p w14:paraId="69BE9013" w14:textId="631CB297" w:rsidR="00290B54" w:rsidRDefault="00AB1B7B" w:rsidP="00290B54">
      <w:pPr>
        <w:pStyle w:val="Heading2"/>
      </w:pPr>
      <w:r>
        <w:t>3</w:t>
      </w:r>
      <w:r w:rsidR="00290B54">
        <w:t>.</w:t>
      </w:r>
      <w:r>
        <w:t>3</w:t>
      </w:r>
      <w:r w:rsidR="00290B54">
        <w:tab/>
        <w:t xml:space="preserve">Objective 3: broadcast service area signalling </w:t>
      </w:r>
      <w:r w:rsidR="00290B54">
        <w:rPr>
          <w:rFonts w:eastAsia="Malgun Gothic"/>
          <w:lang w:val="en-US" w:eastAsia="ko-KR"/>
        </w:rPr>
        <w:t>[RAN2, RAN3]</w:t>
      </w:r>
    </w:p>
    <w:p w14:paraId="77BC466A" w14:textId="6974782D" w:rsidR="00290B54" w:rsidRPr="00786327" w:rsidRDefault="00290B54" w:rsidP="006B2E8A">
      <w:pPr>
        <w:jc w:val="both"/>
        <w:rPr>
          <w:rFonts w:cs="Arial"/>
          <w:lang w:val="en-US" w:eastAsia="ja-JP"/>
        </w:rPr>
      </w:pPr>
      <w:r>
        <w:rPr>
          <w:rFonts w:cs="Arial"/>
          <w:lang w:eastAsia="ja-JP"/>
        </w:rPr>
        <w:t>This objective does not need to be studied</w:t>
      </w:r>
      <w:r w:rsidR="00511D8D">
        <w:rPr>
          <w:rFonts w:cs="Arial"/>
          <w:lang w:eastAsia="ja-JP"/>
        </w:rPr>
        <w:t xml:space="preserve"> first</w:t>
      </w:r>
      <w:r>
        <w:rPr>
          <w:rFonts w:cs="Arial"/>
          <w:lang w:eastAsia="ja-JP"/>
        </w:rPr>
        <w:t xml:space="preserve">, it can be </w:t>
      </w:r>
      <w:r w:rsidR="00786327">
        <w:rPr>
          <w:rFonts w:cs="Arial"/>
          <w:lang w:val="en-US" w:eastAsia="ja-JP"/>
        </w:rPr>
        <w:t xml:space="preserve">directly </w:t>
      </w:r>
      <w:r>
        <w:rPr>
          <w:rFonts w:cs="Arial"/>
          <w:lang w:eastAsia="ja-JP"/>
        </w:rPr>
        <w:t>specified in RAN2 and RAN3. RAN2 shall add SIB signalling of the intended service area when the satellite footprint covers a larger area</w:t>
      </w:r>
      <w:r w:rsidR="00511D8D">
        <w:rPr>
          <w:rFonts w:cs="Arial"/>
          <w:lang w:eastAsia="ja-JP"/>
        </w:rPr>
        <w:t xml:space="preserve">, this is further investigated in </w:t>
      </w:r>
      <w:r w:rsidR="00511D8D">
        <w:rPr>
          <w:rFonts w:cs="Arial"/>
          <w:lang w:eastAsia="ja-JP"/>
        </w:rPr>
        <w:fldChar w:fldCharType="begin"/>
      </w:r>
      <w:r w:rsidR="00511D8D">
        <w:rPr>
          <w:rFonts w:cs="Arial"/>
          <w:lang w:eastAsia="ja-JP"/>
        </w:rPr>
        <w:instrText xml:space="preserve"> REF _Ref162534086 \r \h </w:instrText>
      </w:r>
      <w:r w:rsidR="00511D8D">
        <w:rPr>
          <w:rFonts w:cs="Arial"/>
          <w:lang w:eastAsia="ja-JP"/>
        </w:rPr>
      </w:r>
      <w:r w:rsidR="00511D8D">
        <w:rPr>
          <w:rFonts w:cs="Arial"/>
          <w:lang w:eastAsia="ja-JP"/>
        </w:rPr>
        <w:fldChar w:fldCharType="separate"/>
      </w:r>
      <w:r w:rsidR="00511D8D">
        <w:rPr>
          <w:rFonts w:cs="Arial"/>
          <w:lang w:eastAsia="ja-JP"/>
        </w:rPr>
        <w:t>[3]</w:t>
      </w:r>
      <w:r w:rsidR="00511D8D">
        <w:rPr>
          <w:rFonts w:cs="Arial"/>
          <w:lang w:eastAsia="ja-JP"/>
        </w:rPr>
        <w:fldChar w:fldCharType="end"/>
      </w:r>
      <w:r>
        <w:rPr>
          <w:rFonts w:cs="Arial"/>
          <w:lang w:eastAsia="ja-JP"/>
        </w:rPr>
        <w:t>. The signalling between CN and RAN for this shall be added by RAN3.</w:t>
      </w:r>
      <w:r w:rsidR="00786327">
        <w:rPr>
          <w:rFonts w:cs="Arial"/>
          <w:lang w:val="en-US" w:eastAsia="ja-JP"/>
        </w:rPr>
        <w:t xml:space="preserve"> Among the possible scenarios where this enhancement is needed, RAN2 should only consider service areas which are smaller than a cell within the satellite coverage area. Otherwise, the specification has already mechanisms in NAS level that deal with larger areas such as a whole cell or a tracking area (TA).</w:t>
      </w:r>
    </w:p>
    <w:p w14:paraId="4DAB5262" w14:textId="20660EA7" w:rsidR="007977D5" w:rsidRPr="008307C0" w:rsidRDefault="007977D5" w:rsidP="007977D5">
      <w:pPr>
        <w:pStyle w:val="Proposal"/>
        <w:tabs>
          <w:tab w:val="clear" w:pos="1304"/>
        </w:tabs>
        <w:ind w:left="1701" w:hanging="1701"/>
      </w:pPr>
      <w:bookmarkStart w:id="10" w:name="_Toc163144492"/>
      <w:r>
        <w:t xml:space="preserve">RAN2 shall evaluate the needed SIB signalling to support intended service areas that are smaller than </w:t>
      </w:r>
      <w:r w:rsidR="00786327">
        <w:rPr>
          <w:lang w:val="en-US"/>
        </w:rPr>
        <w:t>a cell within the satellite coverage area</w:t>
      </w:r>
      <w:r>
        <w:t>.</w:t>
      </w:r>
      <w:bookmarkEnd w:id="10"/>
    </w:p>
    <w:p w14:paraId="6A766156" w14:textId="77777777" w:rsidR="00290B54" w:rsidRDefault="00290B54" w:rsidP="006B2E8A">
      <w:pPr>
        <w:jc w:val="both"/>
        <w:rPr>
          <w:rFonts w:cs="Arial"/>
          <w:lang w:eastAsia="ja-JP"/>
        </w:rPr>
      </w:pPr>
    </w:p>
    <w:p w14:paraId="5DD05F90" w14:textId="5AF1FA7C" w:rsidR="00290B54" w:rsidRDefault="00AB1B7B" w:rsidP="00290B54">
      <w:pPr>
        <w:pStyle w:val="Heading2"/>
      </w:pPr>
      <w:r>
        <w:t>3</w:t>
      </w:r>
      <w:r w:rsidR="00290B54">
        <w:t>.</w:t>
      </w:r>
      <w:r>
        <w:t>4</w:t>
      </w:r>
      <w:r w:rsidR="00290B54">
        <w:tab/>
        <w:t xml:space="preserve">Objective </w:t>
      </w:r>
      <w:r w:rsidR="00601373">
        <w:t>4</w:t>
      </w:r>
      <w:r w:rsidR="00290B54">
        <w:t xml:space="preserve">: </w:t>
      </w:r>
      <w:r>
        <w:rPr>
          <w:rFonts w:eastAsia="Malgun Gothic"/>
          <w:lang w:val="en-US" w:eastAsia="ko-KR"/>
        </w:rPr>
        <w:t>Support of regenerative payload [RAN3, RAN2, RAN4]</w:t>
      </w:r>
    </w:p>
    <w:p w14:paraId="1392B910" w14:textId="52AA5211" w:rsidR="00C47D9E" w:rsidRDefault="00F15DFB" w:rsidP="006B2E8A">
      <w:pPr>
        <w:jc w:val="both"/>
        <w:rPr>
          <w:rFonts w:cs="Arial"/>
          <w:lang w:eastAsia="ja-JP"/>
        </w:rPr>
      </w:pPr>
      <w:r>
        <w:rPr>
          <w:rFonts w:cs="Arial"/>
          <w:lang w:eastAsia="ja-JP"/>
        </w:rPr>
        <w:t xml:space="preserve">The </w:t>
      </w:r>
      <w:r w:rsidR="00AB1B7B">
        <w:rPr>
          <w:rFonts w:cs="Arial"/>
          <w:lang w:eastAsia="ja-JP"/>
        </w:rPr>
        <w:t>Regenerative payload</w:t>
      </w:r>
      <w:r w:rsidR="00786327">
        <w:rPr>
          <w:rFonts w:cs="Arial"/>
          <w:lang w:val="en-US" w:eastAsia="ja-JP"/>
        </w:rPr>
        <w:t xml:space="preserve"> architecture</w:t>
      </w:r>
      <w:r>
        <w:rPr>
          <w:rFonts w:cs="Arial"/>
          <w:lang w:eastAsia="ja-JP"/>
        </w:rPr>
        <w:t xml:space="preserve"> shall be specified</w:t>
      </w:r>
      <w:r w:rsidR="00511D8D">
        <w:rPr>
          <w:rFonts w:cs="Arial"/>
          <w:lang w:eastAsia="ja-JP"/>
        </w:rPr>
        <w:t>.</w:t>
      </w:r>
      <w:r w:rsidR="00AB1B7B">
        <w:rPr>
          <w:rFonts w:cs="Arial"/>
          <w:lang w:eastAsia="ja-JP"/>
        </w:rPr>
        <w:t xml:space="preserve"> </w:t>
      </w:r>
      <w:r w:rsidR="00C47D9E">
        <w:rPr>
          <w:rFonts w:cs="Arial"/>
          <w:lang w:eastAsia="ja-JP"/>
        </w:rPr>
        <w:t>RAN2</w:t>
      </w:r>
      <w:r w:rsidR="00AB1B7B">
        <w:rPr>
          <w:rFonts w:cs="Arial"/>
          <w:lang w:eastAsia="ja-JP"/>
        </w:rPr>
        <w:t xml:space="preserve"> will need to update stage 2</w:t>
      </w:r>
      <w:r w:rsidR="00511D8D">
        <w:rPr>
          <w:rFonts w:cs="Arial"/>
          <w:lang w:eastAsia="ja-JP"/>
        </w:rPr>
        <w:t xml:space="preserve"> as it mentions transparent architecture, but we do not see any need for stage 3 updates in RAN2 specs</w:t>
      </w:r>
      <w:r w:rsidR="00AB1B7B">
        <w:rPr>
          <w:rFonts w:cs="Arial"/>
          <w:lang w:eastAsia="ja-JP"/>
        </w:rPr>
        <w:t xml:space="preserve">. </w:t>
      </w:r>
      <w:r>
        <w:rPr>
          <w:rFonts w:cs="Arial"/>
          <w:lang w:eastAsia="ja-JP"/>
        </w:rPr>
        <w:t>Further, w</w:t>
      </w:r>
      <w:r w:rsidR="00AB1B7B">
        <w:rPr>
          <w:rFonts w:cs="Arial"/>
          <w:lang w:eastAsia="ja-JP"/>
        </w:rPr>
        <w:t xml:space="preserve">ith regenerative payload, the feeder link is part of the backhaul for NG and/or Xn interfaces instead of an interface between the NTN Gateway and the NTN payload. </w:t>
      </w:r>
      <w:r w:rsidR="00C47D9E">
        <w:rPr>
          <w:rFonts w:cs="Arial"/>
          <w:lang w:eastAsia="ja-JP"/>
        </w:rPr>
        <w:t xml:space="preserve">However, as analysed in an accompanying contribution </w:t>
      </w:r>
      <w:r w:rsidR="00C47D9E">
        <w:rPr>
          <w:rFonts w:cs="Arial"/>
          <w:lang w:eastAsia="ja-JP"/>
        </w:rPr>
        <w:fldChar w:fldCharType="begin"/>
      </w:r>
      <w:r w:rsidR="00C47D9E">
        <w:rPr>
          <w:rFonts w:cs="Arial"/>
          <w:lang w:eastAsia="ja-JP"/>
        </w:rPr>
        <w:instrText xml:space="preserve"> REF _Ref162451337 \r \h </w:instrText>
      </w:r>
      <w:r w:rsidR="00C47D9E">
        <w:rPr>
          <w:rFonts w:cs="Arial"/>
          <w:lang w:eastAsia="ja-JP"/>
        </w:rPr>
      </w:r>
      <w:r w:rsidR="00C47D9E">
        <w:rPr>
          <w:rFonts w:cs="Arial"/>
          <w:lang w:eastAsia="ja-JP"/>
        </w:rPr>
        <w:fldChar w:fldCharType="separate"/>
      </w:r>
      <w:r w:rsidR="00511D8D">
        <w:rPr>
          <w:rFonts w:cs="Arial"/>
          <w:lang w:eastAsia="ja-JP"/>
        </w:rPr>
        <w:t>[2]</w:t>
      </w:r>
      <w:r w:rsidR="00C47D9E">
        <w:rPr>
          <w:rFonts w:cs="Arial"/>
          <w:lang w:eastAsia="ja-JP"/>
        </w:rPr>
        <w:fldChar w:fldCharType="end"/>
      </w:r>
      <w:r w:rsidR="00C47D9E">
        <w:rPr>
          <w:rFonts w:cs="Arial"/>
          <w:lang w:eastAsia="ja-JP"/>
        </w:rPr>
        <w:t>, the affected stage</w:t>
      </w:r>
      <w:r w:rsidR="00AB1B7B">
        <w:rPr>
          <w:rFonts w:cs="Arial"/>
          <w:lang w:eastAsia="ja-JP"/>
        </w:rPr>
        <w:t xml:space="preserve"> </w:t>
      </w:r>
      <w:r w:rsidR="00C47D9E">
        <w:rPr>
          <w:rFonts w:cs="Arial"/>
          <w:lang w:eastAsia="ja-JP"/>
        </w:rPr>
        <w:t xml:space="preserve">2 </w:t>
      </w:r>
      <w:r w:rsidR="00AB1B7B">
        <w:rPr>
          <w:rFonts w:cs="Arial"/>
          <w:lang w:eastAsia="ja-JP"/>
        </w:rPr>
        <w:t xml:space="preserve">parts </w:t>
      </w:r>
      <w:r>
        <w:rPr>
          <w:rFonts w:cs="Arial"/>
          <w:lang w:eastAsia="ja-JP"/>
        </w:rPr>
        <w:t xml:space="preserve">are </w:t>
      </w:r>
      <w:r w:rsidR="00C47D9E">
        <w:rPr>
          <w:rFonts w:cs="Arial"/>
          <w:lang w:eastAsia="ja-JP"/>
        </w:rPr>
        <w:t xml:space="preserve">almost all added by RAN3 and </w:t>
      </w:r>
      <w:r>
        <w:rPr>
          <w:rFonts w:cs="Arial"/>
          <w:lang w:eastAsia="ja-JP"/>
        </w:rPr>
        <w:t xml:space="preserve">are therefore better left to be </w:t>
      </w:r>
      <w:r w:rsidR="00C47D9E">
        <w:rPr>
          <w:rFonts w:cs="Arial"/>
          <w:lang w:eastAsia="ja-JP"/>
        </w:rPr>
        <w:t>updated by RAN3</w:t>
      </w:r>
      <w:r w:rsidR="00AB1B7B">
        <w:rPr>
          <w:rFonts w:cs="Arial"/>
          <w:lang w:eastAsia="ja-JP"/>
        </w:rPr>
        <w:t xml:space="preserve">. </w:t>
      </w:r>
      <w:r w:rsidR="00C47D9E">
        <w:rPr>
          <w:rFonts w:cs="Arial"/>
          <w:lang w:eastAsia="ja-JP"/>
        </w:rPr>
        <w:t xml:space="preserve">There is a study part of this objective for RAN3, </w:t>
      </w:r>
      <w:r>
        <w:rPr>
          <w:rFonts w:cs="Arial"/>
          <w:lang w:eastAsia="ja-JP"/>
        </w:rPr>
        <w:t xml:space="preserve">to evaluate </w:t>
      </w:r>
      <w:r w:rsidR="00C47D9E">
        <w:rPr>
          <w:rFonts w:cs="Arial"/>
          <w:lang w:eastAsia="ja-JP"/>
        </w:rPr>
        <w:t xml:space="preserve">enhancements for intra/inter gNB mobility when Xn is carried over feeder link or over Inter Satellite Links. </w:t>
      </w:r>
    </w:p>
    <w:p w14:paraId="1EA0F27A" w14:textId="66B48C2C" w:rsidR="007977D5" w:rsidRPr="008307C0" w:rsidRDefault="009F000A" w:rsidP="007977D5">
      <w:pPr>
        <w:pStyle w:val="Proposal"/>
        <w:tabs>
          <w:tab w:val="clear" w:pos="1304"/>
        </w:tabs>
        <w:ind w:left="1701" w:hanging="1701"/>
      </w:pPr>
      <w:bookmarkStart w:id="11" w:name="_Toc163144493"/>
      <w:r>
        <w:t xml:space="preserve">From </w:t>
      </w:r>
      <w:r w:rsidR="007977D5">
        <w:t xml:space="preserve">RAN2 </w:t>
      </w:r>
      <w:r>
        <w:t xml:space="preserve">point of view, stage 2 updates needed for regenerative payload </w:t>
      </w:r>
      <w:r w:rsidR="00786327">
        <w:rPr>
          <w:lang w:val="en-US"/>
        </w:rPr>
        <w:t>shall be</w:t>
      </w:r>
      <w:r>
        <w:t xml:space="preserve"> handled in RAN3</w:t>
      </w:r>
      <w:r w:rsidR="007977D5">
        <w:t>.</w:t>
      </w:r>
      <w:bookmarkEnd w:id="11"/>
      <w:r w:rsidR="007977D5">
        <w:t xml:space="preserve"> </w:t>
      </w:r>
    </w:p>
    <w:p w14:paraId="3507AC09" w14:textId="77777777" w:rsidR="00AB1B7B" w:rsidRDefault="00AB1B7B" w:rsidP="006B2E8A">
      <w:pPr>
        <w:jc w:val="both"/>
        <w:rPr>
          <w:rFonts w:cs="Arial"/>
          <w:lang w:eastAsia="ja-JP"/>
        </w:rPr>
      </w:pPr>
    </w:p>
    <w:p w14:paraId="3E73645B" w14:textId="7426E2A6" w:rsidR="00F15DFB" w:rsidRDefault="00F15DFB" w:rsidP="00F15DFB">
      <w:pPr>
        <w:pStyle w:val="Heading2"/>
      </w:pPr>
      <w:r>
        <w:t>3.5</w:t>
      </w:r>
      <w:r>
        <w:tab/>
        <w:t xml:space="preserve">Objective 5: Support for </w:t>
      </w:r>
      <w:r w:rsidR="009F000A">
        <w:t>(e)</w:t>
      </w:r>
      <w:r>
        <w:t>RedCap</w:t>
      </w:r>
      <w:r w:rsidR="008D5794">
        <w:t xml:space="preserve"> </w:t>
      </w:r>
      <w:r w:rsidR="008D5794" w:rsidRPr="008D5794">
        <w:t>[RAN4, RAN1]</w:t>
      </w:r>
    </w:p>
    <w:p w14:paraId="6DD5CF02" w14:textId="0B3A7E97" w:rsidR="00F15DFB" w:rsidRDefault="007712E0" w:rsidP="006B2E8A">
      <w:pPr>
        <w:jc w:val="both"/>
        <w:rPr>
          <w:rFonts w:cs="Arial"/>
          <w:lang w:eastAsia="ja-JP"/>
        </w:rPr>
      </w:pPr>
      <w:r>
        <w:rPr>
          <w:rFonts w:cs="Arial"/>
          <w:lang w:eastAsia="ja-JP"/>
        </w:rPr>
        <w:t xml:space="preserve">This is about the RF requirements and half duplex collisions </w:t>
      </w:r>
      <w:r w:rsidR="00511D8D">
        <w:rPr>
          <w:rFonts w:cs="Arial"/>
          <w:lang w:eastAsia="ja-JP"/>
        </w:rPr>
        <w:t>which are in the scope of</w:t>
      </w:r>
      <w:r>
        <w:rPr>
          <w:rFonts w:cs="Arial"/>
          <w:lang w:eastAsia="ja-JP"/>
        </w:rPr>
        <w:t xml:space="preserve"> RAN4 and RAN1 respectively. </w:t>
      </w:r>
    </w:p>
    <w:p w14:paraId="41F9EFB5" w14:textId="3691FD81" w:rsidR="009F000A" w:rsidRPr="008307C0" w:rsidRDefault="00511D8D" w:rsidP="00511D8D">
      <w:pPr>
        <w:pStyle w:val="Proposal"/>
        <w:tabs>
          <w:tab w:val="clear" w:pos="1304"/>
        </w:tabs>
        <w:ind w:left="1701" w:hanging="1701"/>
      </w:pPr>
      <w:bookmarkStart w:id="12" w:name="_Toc163144494"/>
      <w:r>
        <w:t>From a RAN2 point of view, t</w:t>
      </w:r>
      <w:r w:rsidR="009F000A">
        <w:t xml:space="preserve">he objective on support for (e)RedCap </w:t>
      </w:r>
      <w:r w:rsidR="007D1529">
        <w:t xml:space="preserve">is not in </w:t>
      </w:r>
      <w:r w:rsidR="009F000A">
        <w:t>RAN2</w:t>
      </w:r>
      <w:r w:rsidR="007D1529">
        <w:t xml:space="preserve"> scope</w:t>
      </w:r>
      <w:r w:rsidR="009F000A">
        <w:t>.</w:t>
      </w:r>
      <w:bookmarkEnd w:id="12"/>
      <w:r w:rsidR="009F000A">
        <w:t xml:space="preserve"> </w:t>
      </w:r>
    </w:p>
    <w:p w14:paraId="28D91E42" w14:textId="77777777" w:rsidR="009F000A" w:rsidRDefault="009F000A" w:rsidP="006B2E8A">
      <w:pPr>
        <w:jc w:val="both"/>
        <w:rPr>
          <w:rFonts w:cs="Arial"/>
          <w:lang w:eastAsia="ja-JP"/>
        </w:rPr>
      </w:pPr>
    </w:p>
    <w:p w14:paraId="16184499" w14:textId="3CF08A79" w:rsidR="00C01F33" w:rsidRPr="00CE0424" w:rsidRDefault="009F000A" w:rsidP="00CE0424">
      <w:pPr>
        <w:pStyle w:val="Heading1"/>
      </w:pPr>
      <w:r>
        <w:t>4</w:t>
      </w:r>
      <w:r w:rsidR="00850F9A">
        <w:tab/>
      </w:r>
      <w:r w:rsidR="00C01F33" w:rsidRPr="00CE0424">
        <w:t>Conclusion</w:t>
      </w:r>
    </w:p>
    <w:p w14:paraId="3C0C63AB" w14:textId="77777777" w:rsidR="008E065E" w:rsidRPr="00EB6DCE" w:rsidRDefault="008E065E" w:rsidP="008E065E">
      <w:pPr>
        <w:pStyle w:val="BodyText"/>
        <w:rPr>
          <w:b/>
          <w:bCs/>
        </w:rPr>
      </w:pPr>
      <w:r w:rsidRPr="00663F19">
        <w:t xml:space="preserve">In </w:t>
      </w:r>
      <w:r w:rsidR="007729A2" w:rsidRPr="00663F19">
        <w:t xml:space="preserve">the previous </w:t>
      </w:r>
      <w:r w:rsidRPr="00663F19">
        <w:t>section</w:t>
      </w:r>
      <w:r w:rsidR="007729A2" w:rsidRPr="00663F19">
        <w:t>s</w:t>
      </w:r>
      <w:r w:rsidRPr="00EB6DCE">
        <w:t xml:space="preserve"> we made the following observations:</w:t>
      </w:r>
      <w:r w:rsidR="00C93814" w:rsidRPr="00EB6DCE">
        <w:rPr>
          <w:b/>
          <w:bCs/>
        </w:rPr>
        <w:t xml:space="preserve"> </w:t>
      </w:r>
    </w:p>
    <w:p w14:paraId="056648CE" w14:textId="0BFC2C55" w:rsidR="00786327" w:rsidRDefault="006F6582">
      <w:pPr>
        <w:pStyle w:val="TableofFigures"/>
        <w:tabs>
          <w:tab w:val="right" w:leader="dot" w:pos="9629"/>
        </w:tabs>
        <w:rPr>
          <w:rFonts w:eastAsiaTheme="minorEastAsia"/>
          <w:b w:val="0"/>
          <w:noProof/>
          <w:lang w:eastAsia="en-SE"/>
        </w:rPr>
      </w:pPr>
      <w:r>
        <w:rPr>
          <w:b w:val="0"/>
          <w:bCs/>
        </w:rPr>
        <w:fldChar w:fldCharType="begin"/>
      </w:r>
      <w:r>
        <w:rPr>
          <w:b w:val="0"/>
          <w:bCs/>
        </w:rPr>
        <w:instrText xml:space="preserve"> TOC \f O \n \h \z \t "Observation" \c </w:instrText>
      </w:r>
      <w:r>
        <w:rPr>
          <w:b w:val="0"/>
          <w:bCs/>
        </w:rPr>
        <w:fldChar w:fldCharType="separate"/>
      </w:r>
      <w:hyperlink w:anchor="_Toc163144488" w:history="1">
        <w:r w:rsidR="00786327" w:rsidRPr="00BC4856">
          <w:rPr>
            <w:rStyle w:val="Hyperlink"/>
            <w:noProof/>
          </w:rPr>
          <w:t>Observation 1</w:t>
        </w:r>
        <w:r w:rsidR="00786327">
          <w:rPr>
            <w:rFonts w:eastAsiaTheme="minorEastAsia"/>
            <w:b w:val="0"/>
            <w:noProof/>
            <w:lang w:eastAsia="en-SE"/>
          </w:rPr>
          <w:tab/>
        </w:r>
        <w:r w:rsidR="00786327" w:rsidRPr="00BC4856">
          <w:rPr>
            <w:rStyle w:val="Hyperlink"/>
            <w:noProof/>
          </w:rPr>
          <w:t>The assumptions are not essentially different from phase 1 and 2.</w:t>
        </w:r>
      </w:hyperlink>
    </w:p>
    <w:p w14:paraId="775CB46E" w14:textId="4003B36B" w:rsidR="006E1C82" w:rsidRDefault="006F6582" w:rsidP="008E065E">
      <w:pPr>
        <w:pStyle w:val="BodyText"/>
        <w:rPr>
          <w:b/>
          <w:bCs/>
        </w:rPr>
      </w:pPr>
      <w:r>
        <w:rPr>
          <w:b/>
          <w:bCs/>
        </w:rPr>
        <w:fldChar w:fldCharType="end"/>
      </w:r>
    </w:p>
    <w:p w14:paraId="3A82D5E6" w14:textId="77777777" w:rsidR="006E1C82" w:rsidRPr="00EB6DCE" w:rsidRDefault="008E065E" w:rsidP="006E1C82">
      <w:pPr>
        <w:pStyle w:val="BodyText"/>
      </w:pPr>
      <w:r w:rsidRPr="00663F19">
        <w:t xml:space="preserve">Based on the discussion in </w:t>
      </w:r>
      <w:r w:rsidR="007729A2" w:rsidRPr="00663F19">
        <w:t xml:space="preserve">the previous </w:t>
      </w:r>
      <w:r w:rsidRPr="00663F19">
        <w:t>section</w:t>
      </w:r>
      <w:r w:rsidR="007729A2" w:rsidRPr="00EB6DCE">
        <w:t>s</w:t>
      </w:r>
      <w:r w:rsidRPr="00EB6DCE">
        <w:t xml:space="preserve"> we propose the following:</w:t>
      </w:r>
    </w:p>
    <w:p w14:paraId="41898172" w14:textId="1994C87F" w:rsidR="00786327" w:rsidRDefault="006E1C82">
      <w:pPr>
        <w:pStyle w:val="TableofFigures"/>
        <w:tabs>
          <w:tab w:val="right" w:leader="dot" w:pos="9629"/>
        </w:tabs>
        <w:rPr>
          <w:rFonts w:eastAsiaTheme="minorEastAsia"/>
          <w:b w:val="0"/>
          <w:noProof/>
          <w:lang w:eastAsia="en-SE"/>
        </w:rPr>
      </w:pPr>
      <w:r>
        <w:rPr>
          <w:b w:val="0"/>
          <w:bCs/>
        </w:rPr>
        <w:fldChar w:fldCharType="begin"/>
      </w:r>
      <w:r>
        <w:rPr>
          <w:b w:val="0"/>
          <w:bCs/>
        </w:rPr>
        <w:instrText xml:space="preserve"> TOC \n \h \z \t "Proposal" \c </w:instrText>
      </w:r>
      <w:r>
        <w:rPr>
          <w:b w:val="0"/>
          <w:bCs/>
        </w:rPr>
        <w:fldChar w:fldCharType="separate"/>
      </w:r>
      <w:hyperlink w:anchor="_Toc163144490" w:history="1">
        <w:r w:rsidR="00786327" w:rsidRPr="00F56EA6">
          <w:rPr>
            <w:rStyle w:val="Hyperlink"/>
            <w:noProof/>
          </w:rPr>
          <w:t>Proposal 1</w:t>
        </w:r>
        <w:r w:rsidR="00786327">
          <w:rPr>
            <w:rFonts w:eastAsiaTheme="minorEastAsia"/>
            <w:b w:val="0"/>
            <w:noProof/>
            <w:lang w:eastAsia="en-SE"/>
          </w:rPr>
          <w:tab/>
        </w:r>
        <w:r w:rsidR="00786327" w:rsidRPr="00F56EA6">
          <w:rPr>
            <w:rStyle w:val="Hyperlink"/>
            <w:noProof/>
          </w:rPr>
          <w:t>RAN2 waits for RAN1 input on downlink coverage enhancements.</w:t>
        </w:r>
      </w:hyperlink>
    </w:p>
    <w:p w14:paraId="5337BB65" w14:textId="52284139" w:rsidR="00786327" w:rsidRDefault="00E96544">
      <w:pPr>
        <w:pStyle w:val="TableofFigures"/>
        <w:tabs>
          <w:tab w:val="right" w:leader="dot" w:pos="9629"/>
        </w:tabs>
        <w:rPr>
          <w:rFonts w:eastAsiaTheme="minorEastAsia"/>
          <w:b w:val="0"/>
          <w:noProof/>
          <w:lang w:eastAsia="en-SE"/>
        </w:rPr>
      </w:pPr>
      <w:hyperlink w:anchor="_Toc163144491" w:history="1">
        <w:r w:rsidR="00786327" w:rsidRPr="00F56EA6">
          <w:rPr>
            <w:rStyle w:val="Hyperlink"/>
            <w:noProof/>
          </w:rPr>
          <w:t>Proposal 2</w:t>
        </w:r>
        <w:r w:rsidR="00786327">
          <w:rPr>
            <w:rFonts w:eastAsiaTheme="minorEastAsia"/>
            <w:b w:val="0"/>
            <w:noProof/>
            <w:lang w:eastAsia="en-SE"/>
          </w:rPr>
          <w:tab/>
        </w:r>
        <w:r w:rsidR="00786327" w:rsidRPr="00F56EA6">
          <w:rPr>
            <w:rStyle w:val="Hyperlink"/>
            <w:noProof/>
          </w:rPr>
          <w:t>RAN2 waits for RAN1 input on uplink capacity and throughput enhancements.</w:t>
        </w:r>
      </w:hyperlink>
    </w:p>
    <w:p w14:paraId="1C1CE863" w14:textId="571DAC1E" w:rsidR="00786327" w:rsidRDefault="00E96544">
      <w:pPr>
        <w:pStyle w:val="TableofFigures"/>
        <w:tabs>
          <w:tab w:val="right" w:leader="dot" w:pos="9629"/>
        </w:tabs>
        <w:rPr>
          <w:rFonts w:eastAsiaTheme="minorEastAsia"/>
          <w:b w:val="0"/>
          <w:noProof/>
          <w:lang w:eastAsia="en-SE"/>
        </w:rPr>
      </w:pPr>
      <w:hyperlink w:anchor="_Toc163144492" w:history="1">
        <w:r w:rsidR="00786327" w:rsidRPr="00F56EA6">
          <w:rPr>
            <w:rStyle w:val="Hyperlink"/>
            <w:noProof/>
          </w:rPr>
          <w:t>Proposal 3</w:t>
        </w:r>
        <w:r w:rsidR="00786327">
          <w:rPr>
            <w:rFonts w:eastAsiaTheme="minorEastAsia"/>
            <w:b w:val="0"/>
            <w:noProof/>
            <w:lang w:eastAsia="en-SE"/>
          </w:rPr>
          <w:tab/>
        </w:r>
        <w:r w:rsidR="00786327" w:rsidRPr="00F56EA6">
          <w:rPr>
            <w:rStyle w:val="Hyperlink"/>
            <w:noProof/>
          </w:rPr>
          <w:t xml:space="preserve">RAN2 shall evaluate the needed SIB signalling to support intended service areas that are smaller than </w:t>
        </w:r>
        <w:r w:rsidR="00786327" w:rsidRPr="00F56EA6">
          <w:rPr>
            <w:rStyle w:val="Hyperlink"/>
            <w:noProof/>
            <w:lang w:val="en-US"/>
          </w:rPr>
          <w:t>a cell within the satellite coverage area</w:t>
        </w:r>
        <w:r w:rsidR="00786327" w:rsidRPr="00F56EA6">
          <w:rPr>
            <w:rStyle w:val="Hyperlink"/>
            <w:noProof/>
          </w:rPr>
          <w:t>.</w:t>
        </w:r>
      </w:hyperlink>
    </w:p>
    <w:p w14:paraId="1C0BD783" w14:textId="269D1F06" w:rsidR="00786327" w:rsidRDefault="00E96544">
      <w:pPr>
        <w:pStyle w:val="TableofFigures"/>
        <w:tabs>
          <w:tab w:val="right" w:leader="dot" w:pos="9629"/>
        </w:tabs>
        <w:rPr>
          <w:rFonts w:eastAsiaTheme="minorEastAsia"/>
          <w:b w:val="0"/>
          <w:noProof/>
          <w:lang w:eastAsia="en-SE"/>
        </w:rPr>
      </w:pPr>
      <w:hyperlink w:anchor="_Toc163144493" w:history="1">
        <w:r w:rsidR="00786327" w:rsidRPr="00F56EA6">
          <w:rPr>
            <w:rStyle w:val="Hyperlink"/>
            <w:noProof/>
          </w:rPr>
          <w:t>Proposal 4</w:t>
        </w:r>
        <w:r w:rsidR="00786327">
          <w:rPr>
            <w:rFonts w:eastAsiaTheme="minorEastAsia"/>
            <w:b w:val="0"/>
            <w:noProof/>
            <w:lang w:eastAsia="en-SE"/>
          </w:rPr>
          <w:tab/>
        </w:r>
        <w:r w:rsidR="00786327" w:rsidRPr="00F56EA6">
          <w:rPr>
            <w:rStyle w:val="Hyperlink"/>
            <w:noProof/>
          </w:rPr>
          <w:t xml:space="preserve">From RAN2 point of view, stage 2 updates needed for regenerative payload </w:t>
        </w:r>
        <w:r w:rsidR="00786327" w:rsidRPr="00F56EA6">
          <w:rPr>
            <w:rStyle w:val="Hyperlink"/>
            <w:noProof/>
            <w:lang w:val="en-US"/>
          </w:rPr>
          <w:t>shall be</w:t>
        </w:r>
        <w:r w:rsidR="00786327" w:rsidRPr="00F56EA6">
          <w:rPr>
            <w:rStyle w:val="Hyperlink"/>
            <w:noProof/>
          </w:rPr>
          <w:t xml:space="preserve"> handled in RAN3.</w:t>
        </w:r>
      </w:hyperlink>
    </w:p>
    <w:p w14:paraId="0D578340" w14:textId="678299E3" w:rsidR="00786327" w:rsidRDefault="00E96544">
      <w:pPr>
        <w:pStyle w:val="TableofFigures"/>
        <w:tabs>
          <w:tab w:val="right" w:leader="dot" w:pos="9629"/>
        </w:tabs>
        <w:rPr>
          <w:rFonts w:eastAsiaTheme="minorEastAsia"/>
          <w:b w:val="0"/>
          <w:noProof/>
          <w:lang w:eastAsia="en-SE"/>
        </w:rPr>
      </w:pPr>
      <w:hyperlink w:anchor="_Toc163144494" w:history="1">
        <w:r w:rsidR="00786327" w:rsidRPr="00F56EA6">
          <w:rPr>
            <w:rStyle w:val="Hyperlink"/>
            <w:noProof/>
          </w:rPr>
          <w:t>Proposal 5</w:t>
        </w:r>
        <w:r w:rsidR="00786327">
          <w:rPr>
            <w:rFonts w:eastAsiaTheme="minorEastAsia"/>
            <w:b w:val="0"/>
            <w:noProof/>
            <w:lang w:eastAsia="en-SE"/>
          </w:rPr>
          <w:tab/>
        </w:r>
        <w:r w:rsidR="00786327" w:rsidRPr="00F56EA6">
          <w:rPr>
            <w:rStyle w:val="Hyperlink"/>
            <w:noProof/>
          </w:rPr>
          <w:t>From a RAN2 point of view, the objective on support for (e)RedCap is not in RAN2 scope.</w:t>
        </w:r>
      </w:hyperlink>
    </w:p>
    <w:p w14:paraId="26EBCCF9" w14:textId="7152ECBD" w:rsidR="00C01F33" w:rsidRPr="009C2D28" w:rsidRDefault="006E1C82" w:rsidP="009C2D28">
      <w:pPr>
        <w:pStyle w:val="BodyText"/>
        <w:rPr>
          <w:b/>
          <w:bCs/>
        </w:rPr>
      </w:pPr>
      <w:r>
        <w:rPr>
          <w:b/>
          <w:bCs/>
        </w:rPr>
        <w:fldChar w:fldCharType="end"/>
      </w:r>
    </w:p>
    <w:p w14:paraId="3F23459F" w14:textId="4D74853E" w:rsidR="00F507D1" w:rsidRPr="00CE0424" w:rsidRDefault="00786327" w:rsidP="00CE0424">
      <w:pPr>
        <w:pStyle w:val="Heading1"/>
      </w:pPr>
      <w:bookmarkStart w:id="13" w:name="_In-sequence_SDU_delivery"/>
      <w:bookmarkEnd w:id="13"/>
      <w:r>
        <w:t>5</w:t>
      </w:r>
      <w:r>
        <w:tab/>
      </w:r>
      <w:r w:rsidR="00F507D1" w:rsidRPr="00CE0424">
        <w:t>References</w:t>
      </w:r>
    </w:p>
    <w:p w14:paraId="03BE2943" w14:textId="433B0E46" w:rsidR="003A7EF3" w:rsidRDefault="003905B0" w:rsidP="00CE0424">
      <w:pPr>
        <w:pStyle w:val="Reference"/>
      </w:pPr>
      <w:bookmarkStart w:id="14" w:name="_Ref42716514"/>
      <w:bookmarkStart w:id="15" w:name="_Ref45286859"/>
      <w:bookmarkStart w:id="16" w:name="_Ref174151459"/>
      <w:bookmarkStart w:id="17" w:name="_Ref189809556"/>
      <w:r w:rsidRPr="003905B0">
        <w:t>RP-2</w:t>
      </w:r>
      <w:r w:rsidR="00DF0344">
        <w:t>40775</w:t>
      </w:r>
      <w:r w:rsidR="002A2A3F" w:rsidRPr="00663F19">
        <w:t>, “</w:t>
      </w:r>
      <w:r w:rsidR="00DF0344" w:rsidRPr="00DF0344">
        <w:t>Revised WID: Non-Terrestrial Networks (NTN) for NR Phase 3</w:t>
      </w:r>
      <w:r w:rsidR="002A2A3F" w:rsidRPr="00EB6DCE">
        <w:t>” 3GPP TSG RAN#</w:t>
      </w:r>
      <w:r w:rsidR="006F44B2">
        <w:t>10</w:t>
      </w:r>
      <w:r w:rsidR="00DF0344">
        <w:t>3</w:t>
      </w:r>
      <w:r w:rsidR="002A2A3F" w:rsidRPr="00EB6DCE">
        <w:t xml:space="preserve">, </w:t>
      </w:r>
      <w:bookmarkEnd w:id="14"/>
      <w:r w:rsidR="00DF0344">
        <w:t>Mar</w:t>
      </w:r>
      <w:r w:rsidR="001A37E9">
        <w:t>. 2024</w:t>
      </w:r>
      <w:r w:rsidR="004D4967" w:rsidRPr="00EB6DCE">
        <w:t>.</w:t>
      </w:r>
      <w:bookmarkEnd w:id="15"/>
      <w:bookmarkEnd w:id="16"/>
      <w:bookmarkEnd w:id="17"/>
    </w:p>
    <w:p w14:paraId="0B277084" w14:textId="58B0B9C0" w:rsidR="001A37E9" w:rsidRDefault="00AB1B7B" w:rsidP="00CE0424">
      <w:pPr>
        <w:pStyle w:val="Reference"/>
      </w:pPr>
      <w:bookmarkStart w:id="18" w:name="_Ref162451337"/>
      <w:bookmarkStart w:id="19" w:name="_Hlk162484751"/>
      <w:r>
        <w:t>R2-24xxxxx, “R19 NR NTN stage 2 impacts”, RAN2#125bis, Changsha, China, April 2024.</w:t>
      </w:r>
      <w:bookmarkEnd w:id="18"/>
      <w:r>
        <w:t xml:space="preserve"> </w:t>
      </w:r>
      <w:bookmarkEnd w:id="19"/>
    </w:p>
    <w:p w14:paraId="614A5383" w14:textId="047870B6" w:rsidR="00511D8D" w:rsidRPr="00EB6DCE" w:rsidRDefault="00511D8D" w:rsidP="00CE0424">
      <w:pPr>
        <w:pStyle w:val="Reference"/>
      </w:pPr>
      <w:bookmarkStart w:id="20" w:name="_Ref162534086"/>
      <w:r>
        <w:t>R2-24xxxxx, “R19 NR NTN broadcast enhancements”, RAN2#125bis, Changsha, China, April 2024.</w:t>
      </w:r>
      <w:bookmarkEnd w:id="20"/>
      <w:r>
        <w:t xml:space="preserve"> </w:t>
      </w:r>
    </w:p>
    <w:p w14:paraId="66DAF18B" w14:textId="5BB15F11" w:rsidR="002827FD" w:rsidRPr="00EB6DCE" w:rsidRDefault="002827FD" w:rsidP="001A37E9">
      <w:pPr>
        <w:pStyle w:val="Reference"/>
        <w:numPr>
          <w:ilvl w:val="0"/>
          <w:numId w:val="0"/>
        </w:numPr>
        <w:ind w:left="567" w:hanging="567"/>
      </w:pPr>
    </w:p>
    <w:sectPr w:rsidR="002827FD"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8E090" w14:textId="77777777" w:rsidR="00C42E94" w:rsidRDefault="00C42E94">
      <w:r>
        <w:separator/>
      </w:r>
    </w:p>
  </w:endnote>
  <w:endnote w:type="continuationSeparator" w:id="0">
    <w:p w14:paraId="3D7079B0" w14:textId="77777777" w:rsidR="00C42E94" w:rsidRDefault="00C42E94">
      <w:r>
        <w:continuationSeparator/>
      </w:r>
    </w:p>
  </w:endnote>
  <w:endnote w:type="continuationNotice" w:id="1">
    <w:p w14:paraId="5A3C262D" w14:textId="77777777" w:rsidR="00C42E94" w:rsidRDefault="00C42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7C2A" w14:textId="77777777" w:rsidR="00C42E94" w:rsidRDefault="00C42E94">
      <w:r>
        <w:separator/>
      </w:r>
    </w:p>
  </w:footnote>
  <w:footnote w:type="continuationSeparator" w:id="0">
    <w:p w14:paraId="6144B2A5" w14:textId="77777777" w:rsidR="00C42E94" w:rsidRDefault="00C42E94">
      <w:r>
        <w:continuationSeparator/>
      </w:r>
    </w:p>
  </w:footnote>
  <w:footnote w:type="continuationNotice" w:id="1">
    <w:p w14:paraId="754C9627" w14:textId="77777777" w:rsidR="00C42E94" w:rsidRDefault="00C42E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35895313">
    <w:abstractNumId w:val="5"/>
  </w:num>
  <w:num w:numId="2" w16cid:durableId="748383013">
    <w:abstractNumId w:val="24"/>
  </w:num>
  <w:num w:numId="3" w16cid:durableId="626470624">
    <w:abstractNumId w:val="18"/>
  </w:num>
  <w:num w:numId="4" w16cid:durableId="1505129281">
    <w:abstractNumId w:val="19"/>
  </w:num>
  <w:num w:numId="5" w16cid:durableId="1501963159">
    <w:abstractNumId w:val="15"/>
  </w:num>
  <w:num w:numId="6" w16cid:durableId="71702907">
    <w:abstractNumId w:val="22"/>
  </w:num>
  <w:num w:numId="7" w16cid:durableId="992100486">
    <w:abstractNumId w:val="29"/>
  </w:num>
  <w:num w:numId="8" w16cid:durableId="1682471746">
    <w:abstractNumId w:val="16"/>
  </w:num>
  <w:num w:numId="9" w16cid:durableId="2093575527">
    <w:abstractNumId w:val="12"/>
  </w:num>
  <w:num w:numId="10" w16cid:durableId="1669482877">
    <w:abstractNumId w:val="2"/>
  </w:num>
  <w:num w:numId="11" w16cid:durableId="1756170888">
    <w:abstractNumId w:val="1"/>
  </w:num>
  <w:num w:numId="12" w16cid:durableId="249698455">
    <w:abstractNumId w:val="0"/>
  </w:num>
  <w:num w:numId="13" w16cid:durableId="2129155411">
    <w:abstractNumId w:val="26"/>
  </w:num>
  <w:num w:numId="14" w16cid:durableId="34082472">
    <w:abstractNumId w:val="27"/>
  </w:num>
  <w:num w:numId="15" w16cid:durableId="156966454">
    <w:abstractNumId w:val="21"/>
  </w:num>
  <w:num w:numId="16" w16cid:durableId="846481830">
    <w:abstractNumId w:val="30"/>
  </w:num>
  <w:num w:numId="17" w16cid:durableId="1144616275">
    <w:abstractNumId w:val="10"/>
  </w:num>
  <w:num w:numId="18" w16cid:durableId="1765567034">
    <w:abstractNumId w:val="11"/>
  </w:num>
  <w:num w:numId="19" w16cid:durableId="225529683">
    <w:abstractNumId w:val="7"/>
  </w:num>
  <w:num w:numId="20" w16cid:durableId="1152791407">
    <w:abstractNumId w:val="33"/>
  </w:num>
  <w:num w:numId="21" w16cid:durableId="881554179">
    <w:abstractNumId w:val="17"/>
  </w:num>
  <w:num w:numId="22" w16cid:durableId="1289358417">
    <w:abstractNumId w:val="32"/>
  </w:num>
  <w:num w:numId="23" w16cid:durableId="545413202">
    <w:abstractNumId w:val="8"/>
  </w:num>
  <w:num w:numId="24" w16cid:durableId="15749707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9"/>
  </w:num>
  <w:num w:numId="26" w16cid:durableId="906770094">
    <w:abstractNumId w:val="31"/>
  </w:num>
  <w:num w:numId="27" w16cid:durableId="1326276714">
    <w:abstractNumId w:val="3"/>
  </w:num>
  <w:num w:numId="28" w16cid:durableId="903298183">
    <w:abstractNumId w:val="4"/>
  </w:num>
  <w:num w:numId="29" w16cid:durableId="604117251">
    <w:abstractNumId w:val="25"/>
  </w:num>
  <w:num w:numId="30" w16cid:durableId="1160849801">
    <w:abstractNumId w:val="6"/>
  </w:num>
  <w:num w:numId="31" w16cid:durableId="818115662">
    <w:abstractNumId w:val="28"/>
  </w:num>
  <w:num w:numId="32" w16cid:durableId="156194349">
    <w:abstractNumId w:val="34"/>
  </w:num>
  <w:num w:numId="33" w16cid:durableId="940916764">
    <w:abstractNumId w:val="23"/>
  </w:num>
  <w:num w:numId="34" w16cid:durableId="37584336">
    <w:abstractNumId w:val="18"/>
  </w:num>
  <w:num w:numId="35" w16cid:durableId="745904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659129">
    <w:abstractNumId w:val="35"/>
    <w:lvlOverride w:ilvl="0">
      <w:startOverride w:val="1"/>
    </w:lvlOverride>
    <w:lvlOverride w:ilvl="1"/>
    <w:lvlOverride w:ilvl="2"/>
    <w:lvlOverride w:ilvl="3"/>
    <w:lvlOverride w:ilvl="4"/>
    <w:lvlOverride w:ilvl="5"/>
    <w:lvlOverride w:ilvl="6"/>
    <w:lvlOverride w:ilvl="7"/>
    <w:lvlOverride w:ilvl="8"/>
  </w:num>
  <w:num w:numId="37" w16cid:durableId="1797018604">
    <w:abstractNumId w:val="13"/>
  </w:num>
  <w:num w:numId="38" w16cid:durableId="1783577073">
    <w:abstractNumId w:val="20"/>
  </w:num>
  <w:num w:numId="39" w16cid:durableId="2118404548">
    <w:abstractNumId w:val="26"/>
  </w:num>
  <w:num w:numId="40" w16cid:durableId="54961588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94A"/>
    <w:rsid w:val="00021CC0"/>
    <w:rsid w:val="0002430F"/>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4D"/>
    <w:rsid w:val="00093474"/>
    <w:rsid w:val="0009510F"/>
    <w:rsid w:val="000963FB"/>
    <w:rsid w:val="000A0885"/>
    <w:rsid w:val="000A1B7B"/>
    <w:rsid w:val="000A56F2"/>
    <w:rsid w:val="000B2719"/>
    <w:rsid w:val="000B3A8F"/>
    <w:rsid w:val="000B4AB9"/>
    <w:rsid w:val="000B58C3"/>
    <w:rsid w:val="000B61E9"/>
    <w:rsid w:val="000B7065"/>
    <w:rsid w:val="000C165A"/>
    <w:rsid w:val="000C2E19"/>
    <w:rsid w:val="000C395B"/>
    <w:rsid w:val="000D0D07"/>
    <w:rsid w:val="000D4797"/>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341A"/>
    <w:rsid w:val="00197DF9"/>
    <w:rsid w:val="001A1987"/>
    <w:rsid w:val="001A2564"/>
    <w:rsid w:val="001A37E9"/>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980"/>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0B54"/>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70E47"/>
    <w:rsid w:val="003742AC"/>
    <w:rsid w:val="00377CE1"/>
    <w:rsid w:val="00385BF0"/>
    <w:rsid w:val="003905B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3411"/>
    <w:rsid w:val="003E55E4"/>
    <w:rsid w:val="003E74E3"/>
    <w:rsid w:val="003E7A6F"/>
    <w:rsid w:val="003F05C7"/>
    <w:rsid w:val="003F2CD4"/>
    <w:rsid w:val="003F320A"/>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5798"/>
    <w:rsid w:val="00427248"/>
    <w:rsid w:val="00437447"/>
    <w:rsid w:val="00441A92"/>
    <w:rsid w:val="0044229B"/>
    <w:rsid w:val="004431DC"/>
    <w:rsid w:val="00444F56"/>
    <w:rsid w:val="00446488"/>
    <w:rsid w:val="00447DCB"/>
    <w:rsid w:val="004517AA"/>
    <w:rsid w:val="00452CAC"/>
    <w:rsid w:val="00454066"/>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1D8D"/>
    <w:rsid w:val="005153A7"/>
    <w:rsid w:val="005219CF"/>
    <w:rsid w:val="005253CF"/>
    <w:rsid w:val="00532029"/>
    <w:rsid w:val="00534B59"/>
    <w:rsid w:val="00536759"/>
    <w:rsid w:val="00537C62"/>
    <w:rsid w:val="00546970"/>
    <w:rsid w:val="00552297"/>
    <w:rsid w:val="00553466"/>
    <w:rsid w:val="00554E19"/>
    <w:rsid w:val="0056121F"/>
    <w:rsid w:val="00572505"/>
    <w:rsid w:val="00573652"/>
    <w:rsid w:val="00582809"/>
    <w:rsid w:val="0058798C"/>
    <w:rsid w:val="005900FA"/>
    <w:rsid w:val="005935A4"/>
    <w:rsid w:val="005948C2"/>
    <w:rsid w:val="00595DCA"/>
    <w:rsid w:val="0059779B"/>
    <w:rsid w:val="005A14CF"/>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3AB9"/>
    <w:rsid w:val="005E1238"/>
    <w:rsid w:val="005E385F"/>
    <w:rsid w:val="005E5B81"/>
    <w:rsid w:val="005E7211"/>
    <w:rsid w:val="005F1727"/>
    <w:rsid w:val="005F1BA8"/>
    <w:rsid w:val="005F2CB1"/>
    <w:rsid w:val="005F3025"/>
    <w:rsid w:val="005F618C"/>
    <w:rsid w:val="005F70BD"/>
    <w:rsid w:val="00601373"/>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44B2"/>
    <w:rsid w:val="006F58D4"/>
    <w:rsid w:val="006F6582"/>
    <w:rsid w:val="0070107B"/>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1228"/>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304C"/>
    <w:rsid w:val="00783673"/>
    <w:rsid w:val="00784EF4"/>
    <w:rsid w:val="00785490"/>
    <w:rsid w:val="00786327"/>
    <w:rsid w:val="007925EA"/>
    <w:rsid w:val="00793CD8"/>
    <w:rsid w:val="00795C92"/>
    <w:rsid w:val="00796231"/>
    <w:rsid w:val="007977D5"/>
    <w:rsid w:val="007A1CB3"/>
    <w:rsid w:val="007A306F"/>
    <w:rsid w:val="007A43A6"/>
    <w:rsid w:val="007A58A6"/>
    <w:rsid w:val="007B3D2D"/>
    <w:rsid w:val="007B50AE"/>
    <w:rsid w:val="007B51DF"/>
    <w:rsid w:val="007C05DD"/>
    <w:rsid w:val="007C3D18"/>
    <w:rsid w:val="007C60BF"/>
    <w:rsid w:val="007C6A07"/>
    <w:rsid w:val="007C75A1"/>
    <w:rsid w:val="007C77A5"/>
    <w:rsid w:val="007C7E7D"/>
    <w:rsid w:val="007D04E5"/>
    <w:rsid w:val="007D1529"/>
    <w:rsid w:val="007D5901"/>
    <w:rsid w:val="007D6515"/>
    <w:rsid w:val="007D7526"/>
    <w:rsid w:val="007E3565"/>
    <w:rsid w:val="007E4610"/>
    <w:rsid w:val="007E4715"/>
    <w:rsid w:val="007E505B"/>
    <w:rsid w:val="007E7091"/>
    <w:rsid w:val="007E70B1"/>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1AE2"/>
    <w:rsid w:val="008444E8"/>
    <w:rsid w:val="008445EB"/>
    <w:rsid w:val="00844A36"/>
    <w:rsid w:val="00844E80"/>
    <w:rsid w:val="00846FE7"/>
    <w:rsid w:val="00850F9A"/>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716D"/>
    <w:rsid w:val="008A21FF"/>
    <w:rsid w:val="008A2CE2"/>
    <w:rsid w:val="008A30AC"/>
    <w:rsid w:val="008A44B8"/>
    <w:rsid w:val="008A51A8"/>
    <w:rsid w:val="008A54C7"/>
    <w:rsid w:val="008A77D8"/>
    <w:rsid w:val="008B0483"/>
    <w:rsid w:val="008B120C"/>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5794"/>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5C05"/>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603D"/>
    <w:rsid w:val="00976949"/>
    <w:rsid w:val="00980477"/>
    <w:rsid w:val="00984436"/>
    <w:rsid w:val="00985253"/>
    <w:rsid w:val="009853B3"/>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2AB0"/>
    <w:rsid w:val="009D4BAD"/>
    <w:rsid w:val="009D4FF0"/>
    <w:rsid w:val="009D703C"/>
    <w:rsid w:val="009D718F"/>
    <w:rsid w:val="009E068F"/>
    <w:rsid w:val="009E14E0"/>
    <w:rsid w:val="009E35DB"/>
    <w:rsid w:val="009E47A3"/>
    <w:rsid w:val="009F000A"/>
    <w:rsid w:val="009F08F3"/>
    <w:rsid w:val="009F0A93"/>
    <w:rsid w:val="009F344F"/>
    <w:rsid w:val="009F3917"/>
    <w:rsid w:val="00A031D8"/>
    <w:rsid w:val="00A048A8"/>
    <w:rsid w:val="00A04F49"/>
    <w:rsid w:val="00A11B5D"/>
    <w:rsid w:val="00A13E54"/>
    <w:rsid w:val="00A1742D"/>
    <w:rsid w:val="00A17F63"/>
    <w:rsid w:val="00A20735"/>
    <w:rsid w:val="00A2193B"/>
    <w:rsid w:val="00A2351A"/>
    <w:rsid w:val="00A23B29"/>
    <w:rsid w:val="00A264A9"/>
    <w:rsid w:val="00A26DCF"/>
    <w:rsid w:val="00A27785"/>
    <w:rsid w:val="00A30187"/>
    <w:rsid w:val="00A3448A"/>
    <w:rsid w:val="00A36297"/>
    <w:rsid w:val="00A41E2B"/>
    <w:rsid w:val="00A43547"/>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1ED6"/>
    <w:rsid w:val="00AA51D6"/>
    <w:rsid w:val="00AA7067"/>
    <w:rsid w:val="00AB0848"/>
    <w:rsid w:val="00AB0BC8"/>
    <w:rsid w:val="00AB1180"/>
    <w:rsid w:val="00AB11CA"/>
    <w:rsid w:val="00AB14D9"/>
    <w:rsid w:val="00AB1B7B"/>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64C7"/>
    <w:rsid w:val="00B739F6"/>
    <w:rsid w:val="00B81A6C"/>
    <w:rsid w:val="00B81C2D"/>
    <w:rsid w:val="00B85DE5"/>
    <w:rsid w:val="00B90727"/>
    <w:rsid w:val="00B90962"/>
    <w:rsid w:val="00B90F73"/>
    <w:rsid w:val="00B93B59"/>
    <w:rsid w:val="00B9406A"/>
    <w:rsid w:val="00B94B76"/>
    <w:rsid w:val="00B96390"/>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4E89"/>
    <w:rsid w:val="00C279B5"/>
    <w:rsid w:val="00C27C45"/>
    <w:rsid w:val="00C32FD2"/>
    <w:rsid w:val="00C3719D"/>
    <w:rsid w:val="00C37C74"/>
    <w:rsid w:val="00C37CB2"/>
    <w:rsid w:val="00C42E94"/>
    <w:rsid w:val="00C473A5"/>
    <w:rsid w:val="00C47D9E"/>
    <w:rsid w:val="00C54537"/>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EA0"/>
    <w:rsid w:val="00CC7B45"/>
    <w:rsid w:val="00CD1188"/>
    <w:rsid w:val="00CD2ED1"/>
    <w:rsid w:val="00CD337B"/>
    <w:rsid w:val="00CE0424"/>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1FF"/>
    <w:rsid w:val="00D519ED"/>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9742B"/>
    <w:rsid w:val="00DA305E"/>
    <w:rsid w:val="00DA5417"/>
    <w:rsid w:val="00DA56E8"/>
    <w:rsid w:val="00DB0A9F"/>
    <w:rsid w:val="00DB377D"/>
    <w:rsid w:val="00DB3B3C"/>
    <w:rsid w:val="00DC2D36"/>
    <w:rsid w:val="00DC53EF"/>
    <w:rsid w:val="00DD689F"/>
    <w:rsid w:val="00DE5608"/>
    <w:rsid w:val="00DE58D0"/>
    <w:rsid w:val="00DE654F"/>
    <w:rsid w:val="00DF0344"/>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544"/>
    <w:rsid w:val="00EA7A41"/>
    <w:rsid w:val="00EB077B"/>
    <w:rsid w:val="00EB4EA2"/>
    <w:rsid w:val="00EB6DCE"/>
    <w:rsid w:val="00EC24D5"/>
    <w:rsid w:val="00EC27C6"/>
    <w:rsid w:val="00EC4207"/>
    <w:rsid w:val="00EC5653"/>
    <w:rsid w:val="00EC71CE"/>
    <w:rsid w:val="00ED1006"/>
    <w:rsid w:val="00ED38C6"/>
    <w:rsid w:val="00ED428F"/>
    <w:rsid w:val="00EF0813"/>
    <w:rsid w:val="00EF18FE"/>
    <w:rsid w:val="00EF21E3"/>
    <w:rsid w:val="00EF5787"/>
    <w:rsid w:val="00EF580D"/>
    <w:rsid w:val="00EF60D0"/>
    <w:rsid w:val="00F0528D"/>
    <w:rsid w:val="00F06C67"/>
    <w:rsid w:val="00F06DFD"/>
    <w:rsid w:val="00F071D1"/>
    <w:rsid w:val="00F07533"/>
    <w:rsid w:val="00F10629"/>
    <w:rsid w:val="00F15DFB"/>
    <w:rsid w:val="00F15FA5"/>
    <w:rsid w:val="00F209B7"/>
    <w:rsid w:val="00F2376F"/>
    <w:rsid w:val="00F23A93"/>
    <w:rsid w:val="00F243D8"/>
    <w:rsid w:val="00F30828"/>
    <w:rsid w:val="00F313D6"/>
    <w:rsid w:val="00F32343"/>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B8E"/>
    <w:rsid w:val="00FB1CCF"/>
    <w:rsid w:val="00FB4C80"/>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544"/>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965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654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25E479-7D86-4FE4-83A0-E0C348715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9465</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33</cp:revision>
  <cp:lastPrinted>2008-02-01T02:09:00Z</cp:lastPrinted>
  <dcterms:created xsi:type="dcterms:W3CDTF">2024-03-15T15:59:00Z</dcterms:created>
  <dcterms:modified xsi:type="dcterms:W3CDTF">2024-04-05T08:41:00Z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